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438E" w:rsidRDefault="00EB0C6E">
      <w:bookmarkStart w:id="0" w:name="_GoBack"/>
      <w:bookmarkEnd w:id="0"/>
      <w:r>
        <w:t xml:space="preserve">1. </w:t>
      </w:r>
      <w:proofErr w:type="spellStart"/>
      <w:r>
        <w:t>Literacy</w:t>
      </w:r>
      <w:proofErr w:type="spellEnd"/>
      <w:r>
        <w:t xml:space="preserve"> in </w:t>
      </w:r>
      <w:proofErr w:type="spellStart"/>
      <w:r>
        <w:t>pre-school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: </w:t>
      </w:r>
      <w:proofErr w:type="spellStart"/>
      <w:r>
        <w:t>Article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Professional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Plenary</w:t>
      </w:r>
      <w:proofErr w:type="spellEnd"/>
      <w:r>
        <w:t>.</w:t>
      </w:r>
    </w:p>
    <w:p w:rsidR="0000438E" w:rsidRDefault="0000438E"/>
    <w:tbl>
      <w:tblPr>
        <w:tblStyle w:val="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00438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38E" w:rsidRDefault="00EB0C6E">
            <w:hyperlink r:id="rId7">
              <w:r>
                <w:rPr>
                  <w:noProof/>
                  <w:color w:val="1155CC"/>
                  <w:u w:val="single"/>
                </w:rPr>
                <w:drawing>
                  <wp:inline distT="114300" distB="114300" distL="114300" distR="114300">
                    <wp:extent cx="2724150" cy="2273300"/>
                    <wp:effectExtent l="25400" t="25400" r="25400" b="25400"/>
                    <wp:docPr id="3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2273300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rgbClr val="EFEFEF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38E" w:rsidRDefault="00EB0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9050" distB="19050" distL="19050" distR="19050">
                  <wp:extent cx="2724150" cy="1739900"/>
                  <wp:effectExtent l="9525" t="9525" r="9525" b="9525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l="3787" t="10001" r="4394" b="11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39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38E" w:rsidRDefault="00004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00438E" w:rsidRDefault="0000438E"/>
    <w:p w:rsidR="0000438E" w:rsidRDefault="0000438E"/>
    <w:p w:rsidR="0000438E" w:rsidRDefault="00EB0C6E">
      <w:r>
        <w:pict>
          <v:rect id="_x0000_i1025" style="width:0;height:1.5pt" o:hralign="center" o:hrstd="t" o:hr="t" fillcolor="#a0a0a0" stroked="f"/>
        </w:pict>
      </w:r>
    </w:p>
    <w:p w:rsidR="0000438E" w:rsidRDefault="0000438E"/>
    <w:p w:rsidR="0000438E" w:rsidRDefault="00EB0C6E">
      <w:r>
        <w:t>2. Age-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disciplinary</w:t>
      </w:r>
      <w:proofErr w:type="spellEnd"/>
      <w:r>
        <w:t xml:space="preserve"> </w:t>
      </w:r>
      <w:proofErr w:type="spellStart"/>
      <w:r>
        <w:t>literacy</w:t>
      </w:r>
      <w:proofErr w:type="spellEnd"/>
      <w:r>
        <w:t xml:space="preserve"> in 8-year </w:t>
      </w:r>
      <w:proofErr w:type="spellStart"/>
      <w:r>
        <w:t>olds</w:t>
      </w:r>
      <w:proofErr w:type="spellEnd"/>
      <w:r>
        <w:t xml:space="preserve"> (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: </w:t>
      </w:r>
      <w:hyperlink r:id="rId10">
        <w:proofErr w:type="spellStart"/>
        <w:r>
          <w:rPr>
            <w:color w:val="1155CC"/>
            <w:u w:val="single"/>
          </w:rPr>
          <w:t>example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worksheets</w:t>
        </w:r>
        <w:proofErr w:type="spellEnd"/>
      </w:hyperlink>
      <w:r>
        <w:t>)</w:t>
      </w:r>
    </w:p>
    <w:p w:rsidR="0000438E" w:rsidRDefault="0000438E"/>
    <w:p w:rsidR="0000438E" w:rsidRDefault="00EB0C6E">
      <w:r>
        <w:pict>
          <v:rect id="_x0000_i1026" style="width:0;height:1.5pt" o:hralign="center" o:hrstd="t" o:hr="t" fillcolor="#a0a0a0" stroked="f"/>
        </w:pict>
      </w:r>
    </w:p>
    <w:p w:rsidR="0000438E" w:rsidRDefault="0000438E"/>
    <w:p w:rsidR="0000438E" w:rsidRDefault="00EB0C6E">
      <w:r>
        <w:t xml:space="preserve">3. M&amp;M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: 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nicely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“</w:t>
      </w:r>
      <w:proofErr w:type="spellStart"/>
      <w:r>
        <w:t>optional</w:t>
      </w:r>
      <w:proofErr w:type="spellEnd"/>
      <w:r>
        <w:t xml:space="preserve"> </w:t>
      </w:r>
      <w:proofErr w:type="spellStart"/>
      <w:r>
        <w:t>modifications</w:t>
      </w:r>
      <w:proofErr w:type="spellEnd"/>
      <w:r>
        <w:t xml:space="preserve">”.  </w:t>
      </w:r>
    </w:p>
    <w:p w:rsidR="0000438E" w:rsidRDefault="00EB0C6E">
      <w:proofErr w:type="spellStart"/>
      <w:r>
        <w:t>However</w:t>
      </w:r>
      <w:proofErr w:type="spellEnd"/>
      <w:r>
        <w:t xml:space="preserve">, note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“</w:t>
      </w:r>
      <w:proofErr w:type="spellStart"/>
      <w:r>
        <w:t>productive</w:t>
      </w:r>
      <w:proofErr w:type="spellEnd"/>
      <w:r>
        <w:t xml:space="preserve"> </w:t>
      </w:r>
      <w:proofErr w:type="spellStart"/>
      <w:r>
        <w:t>literacy</w:t>
      </w:r>
      <w:proofErr w:type="spellEnd"/>
      <w:r>
        <w:t xml:space="preserve">”, </w:t>
      </w:r>
      <w:proofErr w:type="spellStart"/>
      <w:r>
        <w:t>helping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properl</w:t>
      </w:r>
      <w:r>
        <w:t>y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accurately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. 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“</w:t>
      </w:r>
      <w:proofErr w:type="spellStart"/>
      <w:r>
        <w:t>completing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”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cultivate</w:t>
      </w:r>
      <w:proofErr w:type="spellEnd"/>
      <w:r>
        <w:t xml:space="preserve"> “</w:t>
      </w:r>
      <w:proofErr w:type="spellStart"/>
      <w:r>
        <w:rPr>
          <w:i/>
        </w:rPr>
        <w:t>productive</w:t>
      </w:r>
      <w:proofErr w:type="spellEnd"/>
      <w:r>
        <w:rPr>
          <w:i/>
        </w:rPr>
        <w:t xml:space="preserve"> </w:t>
      </w:r>
      <w:proofErr w:type="spellStart"/>
      <w:r>
        <w:t>disciplinary</w:t>
      </w:r>
      <w:proofErr w:type="spellEnd"/>
      <w:r>
        <w:t xml:space="preserve"> </w:t>
      </w:r>
      <w:proofErr w:type="spellStart"/>
      <w:r>
        <w:t>discourses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literacies</w:t>
      </w:r>
      <w:proofErr w:type="spellEnd"/>
      <w:r>
        <w:t xml:space="preserve">”.  </w:t>
      </w:r>
    </w:p>
    <w:p w:rsidR="0000438E" w:rsidRDefault="0000438E"/>
    <w:p w:rsidR="0000438E" w:rsidRDefault="00EB0C6E">
      <w:hyperlink r:id="rId11">
        <w:r>
          <w:rPr>
            <w:color w:val="1155CC"/>
            <w:u w:val="single"/>
          </w:rPr>
          <w:t>https://www.acs.org/content/acs/en/education/whatischemistry/adventures-in-chemistry/experiments/dissolving-m-ms.html</w:t>
        </w:r>
      </w:hyperlink>
    </w:p>
    <w:p w:rsidR="0000438E" w:rsidRDefault="0000438E"/>
    <w:p w:rsidR="0000438E" w:rsidRDefault="00EB0C6E">
      <w:hyperlink r:id="rId12">
        <w:r>
          <w:rPr>
            <w:color w:val="1155CC"/>
            <w:u w:val="single"/>
          </w:rPr>
          <w:t>https://www.acs.org/content/acs/en/education/resources/k-8/inquiryinaction/fifth-grade/chapter-1-investi</w:t>
        </w:r>
        <w:r>
          <w:rPr>
            <w:color w:val="1155CC"/>
            <w:u w:val="single"/>
          </w:rPr>
          <w:t>gating-matter-at-the-particle-level/dissolving-an-m-and-m.html</w:t>
        </w:r>
      </w:hyperlink>
    </w:p>
    <w:p w:rsidR="0000438E" w:rsidRDefault="0000438E"/>
    <w:p w:rsidR="0000438E" w:rsidRDefault="00EB0C6E">
      <w:r>
        <w:pict>
          <v:rect id="_x0000_i1027" style="width:0;height:1.5pt" o:hralign="center" o:hrstd="t" o:hr="t" fillcolor="#a0a0a0" stroked="f"/>
        </w:pict>
      </w:r>
    </w:p>
    <w:p w:rsidR="0000438E" w:rsidRDefault="0000438E"/>
    <w:p w:rsidR="0000438E" w:rsidRDefault="00EB0C6E">
      <w:r>
        <w:t xml:space="preserve">4. </w:t>
      </w:r>
      <w:proofErr w:type="spellStart"/>
      <w:r>
        <w:t>Here</w:t>
      </w:r>
      <w:proofErr w:type="spellEnd"/>
      <w:r>
        <w:t xml:space="preserve"> are “</w:t>
      </w:r>
      <w:r>
        <w:rPr>
          <w:b/>
        </w:rPr>
        <w:t>CLIL-</w:t>
      </w:r>
      <w:proofErr w:type="spellStart"/>
      <w:r>
        <w:rPr>
          <w:b/>
        </w:rPr>
        <w:t>Pages</w:t>
      </w:r>
      <w:proofErr w:type="spellEnd"/>
      <w:r>
        <w:t xml:space="preserve">”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3-Level (B1, B1-Upper, B2-Lower) “Talent”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EFL </w:t>
      </w:r>
      <w:proofErr w:type="spellStart"/>
      <w:r>
        <w:t>textbooks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Cambridge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. 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>, 10 CLIL-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2-page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covering</w:t>
      </w:r>
      <w:proofErr w:type="spellEnd"/>
      <w:r>
        <w:t xml:space="preserve"> one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, </w:t>
      </w:r>
      <w:proofErr w:type="spellStart"/>
      <w:r>
        <w:t>Art</w:t>
      </w:r>
      <w:proofErr w:type="spellEnd"/>
      <w:r>
        <w:t xml:space="preserve">, </w:t>
      </w:r>
      <w:proofErr w:type="spellStart"/>
      <w:r>
        <w:t>Geography</w:t>
      </w:r>
      <w:proofErr w:type="spellEnd"/>
      <w:r>
        <w:t xml:space="preserve">, </w:t>
      </w:r>
      <w:proofErr w:type="spellStart"/>
      <w:r>
        <w:t>History</w:t>
      </w:r>
      <w:proofErr w:type="spellEnd"/>
      <w:r>
        <w:t xml:space="preserve">, </w:t>
      </w:r>
      <w:proofErr w:type="spellStart"/>
      <w:r>
        <w:t>Maths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Science,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tied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theme</w:t>
      </w:r>
      <w:proofErr w:type="spellEnd"/>
      <w:r>
        <w:t xml:space="preserve"> per </w:t>
      </w:r>
      <w:proofErr w:type="spellStart"/>
      <w:r>
        <w:t>Level</w:t>
      </w:r>
      <w:proofErr w:type="spellEnd"/>
      <w:r>
        <w:t xml:space="preserve">.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theme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1 </w:t>
      </w:r>
      <w:proofErr w:type="spellStart"/>
      <w:r>
        <w:t>was</w:t>
      </w:r>
      <w:proofErr w:type="spellEnd"/>
      <w:r>
        <w:t xml:space="preserve"> “</w:t>
      </w:r>
      <w:proofErr w:type="spellStart"/>
      <w:r>
        <w:t>insects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”; </w:t>
      </w:r>
      <w:proofErr w:type="spellStart"/>
      <w:r>
        <w:t>Level</w:t>
      </w:r>
      <w:proofErr w:type="spellEnd"/>
      <w:r>
        <w:t xml:space="preserve"> 2 </w:t>
      </w:r>
      <w:r>
        <w:lastRenderedPageBreak/>
        <w:t>“</w:t>
      </w:r>
      <w:proofErr w:type="spellStart"/>
      <w:r>
        <w:t>u</w:t>
      </w:r>
      <w:r>
        <w:t>rbanization</w:t>
      </w:r>
      <w:proofErr w:type="spellEnd"/>
      <w:r>
        <w:t xml:space="preserve">”; </w:t>
      </w:r>
      <w:proofErr w:type="spellStart"/>
      <w:r>
        <w:t>Level</w:t>
      </w:r>
      <w:proofErr w:type="spellEnd"/>
      <w:r>
        <w:t xml:space="preserve"> 3, “</w:t>
      </w:r>
      <w:proofErr w:type="spellStart"/>
      <w:r>
        <w:t>epidemics</w:t>
      </w:r>
      <w:proofErr w:type="spellEnd"/>
      <w:r>
        <w:t xml:space="preserve">”....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CLIL-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3, </w:t>
      </w:r>
      <w:proofErr w:type="spellStart"/>
      <w:r>
        <w:t>published</w:t>
      </w:r>
      <w:proofErr w:type="spellEnd"/>
      <w:r>
        <w:t xml:space="preserve"> in 2018,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how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pandemic</w:t>
      </w:r>
      <w:proofErr w:type="spellEnd"/>
      <w:r>
        <w:t>.</w:t>
      </w:r>
    </w:p>
    <w:p w:rsidR="0000438E" w:rsidRDefault="0000438E"/>
    <w:p w:rsidR="0000438E" w:rsidRDefault="00EB0C6E">
      <w:proofErr w:type="spellStart"/>
      <w:r>
        <w:t>Thanks</w:t>
      </w:r>
      <w:proofErr w:type="spellEnd"/>
      <w:r>
        <w:t xml:space="preserve"> to </w:t>
      </w:r>
      <w:proofErr w:type="spellStart"/>
      <w:r>
        <w:t>permission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Cambridge, 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CLIL-</w:t>
      </w:r>
      <w:proofErr w:type="spellStart"/>
      <w:r>
        <w:t>Pages</w:t>
      </w:r>
      <w:proofErr w:type="spellEnd"/>
      <w:r>
        <w:t xml:space="preserve">: go to </w:t>
      </w:r>
      <w:proofErr w:type="spellStart"/>
      <w:r>
        <w:t>the</w:t>
      </w:r>
      <w:proofErr w:type="spellEnd"/>
      <w:r>
        <w:t xml:space="preserve"> site </w:t>
      </w:r>
      <w:proofErr w:type="spellStart"/>
      <w:r>
        <w:t>below</w:t>
      </w:r>
      <w:proofErr w:type="spellEnd"/>
      <w:r>
        <w:t xml:space="preserve"> (ISSUU)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to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:rsidR="0000438E" w:rsidRDefault="0000438E"/>
    <w:p w:rsidR="0000438E" w:rsidRDefault="0000438E"/>
    <w:p w:rsidR="0000438E" w:rsidRDefault="00EB0C6E">
      <w:hyperlink r:id="rId13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5731200" cy="3657600"/>
              <wp:effectExtent l="25400" t="25400" r="25400" b="25400"/>
              <wp:docPr id="4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657600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00438E"/>
    <w:p w:rsidR="0000438E" w:rsidRDefault="00EB0C6E">
      <w:r>
        <w:pict>
          <v:rect id="_x0000_i1028" style="width:0;height:1.5pt" o:hralign="center" o:hrstd="t" o:hr="t" fillcolor="#a0a0a0" stroked="f"/>
        </w:pict>
      </w:r>
    </w:p>
    <w:p w:rsidR="0000438E" w:rsidRDefault="0000438E"/>
    <w:p w:rsidR="0000438E" w:rsidRDefault="00EB0C6E">
      <w:pPr>
        <w:rPr>
          <w:b/>
        </w:rPr>
      </w:pPr>
      <w:r>
        <w:rPr>
          <w:b/>
        </w:rPr>
        <w:t xml:space="preserve">A </w:t>
      </w:r>
      <w:proofErr w:type="spellStart"/>
      <w:r>
        <w:rPr>
          <w:b/>
        </w:rPr>
        <w:t>few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articles</w:t>
      </w:r>
      <w:proofErr w:type="spellEnd"/>
      <w:r>
        <w:rPr>
          <w:b/>
        </w:rPr>
        <w:t>/</w:t>
      </w:r>
      <w:proofErr w:type="spellStart"/>
      <w:r>
        <w:rPr>
          <w:b/>
        </w:rPr>
        <w:t>books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might</w:t>
      </w:r>
      <w:proofErr w:type="spellEnd"/>
      <w:r>
        <w:rPr>
          <w:b/>
        </w:rPr>
        <w:t xml:space="preserve"> be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general </w:t>
      </w:r>
      <w:proofErr w:type="spellStart"/>
      <w:r>
        <w:rPr>
          <w:b/>
        </w:rPr>
        <w:t>interest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language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teachers</w:t>
      </w:r>
      <w:proofErr w:type="spellEnd"/>
      <w:r>
        <w:rPr>
          <w:b/>
        </w:rPr>
        <w:t>.</w:t>
      </w:r>
    </w:p>
    <w:p w:rsidR="0000438E" w:rsidRDefault="0000438E"/>
    <w:p w:rsidR="0000438E" w:rsidRDefault="00EB0C6E">
      <w:r>
        <w:t xml:space="preserve">1.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monologue</w:t>
      </w:r>
      <w:proofErr w:type="spellEnd"/>
      <w:r>
        <w:t xml:space="preserve">: how to </w:t>
      </w:r>
      <w:proofErr w:type="spellStart"/>
      <w:r>
        <w:t>elicit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con</w:t>
      </w:r>
      <w:r>
        <w:t>tent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learners</w:t>
      </w:r>
      <w:proofErr w:type="spellEnd"/>
      <w:r>
        <w:t xml:space="preserve">.  </w:t>
      </w:r>
      <w:hyperlink r:id="rId15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5731200" cy="1308100"/>
              <wp:effectExtent l="25400" t="25400" r="25400" b="25400"/>
              <wp:docPr id="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308100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00438E"/>
    <w:p w:rsidR="0000438E" w:rsidRDefault="0000438E"/>
    <w:p w:rsidR="0000438E" w:rsidRDefault="0000438E"/>
    <w:p w:rsidR="0000438E" w:rsidRDefault="0000438E"/>
    <w:p w:rsidR="0000438E" w:rsidRDefault="00EB0C6E">
      <w:r>
        <w:t xml:space="preserve">2. </w:t>
      </w:r>
      <w:proofErr w:type="spellStart"/>
      <w:r>
        <w:t>Useful</w:t>
      </w:r>
      <w:proofErr w:type="spellEnd"/>
      <w:r>
        <w:t xml:space="preserve"> Reference </w:t>
      </w:r>
      <w:proofErr w:type="spellStart"/>
      <w:r>
        <w:t>Books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/ </w:t>
      </w:r>
      <w:proofErr w:type="spellStart"/>
      <w:r>
        <w:t>Teacher-Training</w:t>
      </w:r>
      <w:proofErr w:type="spellEnd"/>
    </w:p>
    <w:p w:rsidR="0000438E" w:rsidRDefault="00EB0C6E">
      <w:pPr>
        <w:rPr>
          <w:b/>
        </w:rPr>
      </w:pPr>
      <w:r>
        <w:rPr>
          <w:b/>
        </w:rPr>
        <w:t xml:space="preserve">“FARE CLIL” (In </w:t>
      </w:r>
      <w:proofErr w:type="spellStart"/>
      <w:r>
        <w:rPr>
          <w:b/>
        </w:rPr>
        <w:t>Italian</w:t>
      </w:r>
      <w:proofErr w:type="spellEnd"/>
      <w:r>
        <w:rPr>
          <w:b/>
        </w:rPr>
        <w:t xml:space="preserve">): </w:t>
      </w:r>
    </w:p>
    <w:p w:rsidR="0000438E" w:rsidRDefault="00EB0C6E">
      <w:pPr>
        <w:numPr>
          <w:ilvl w:val="0"/>
          <w:numId w:val="1"/>
        </w:numPr>
      </w:pPr>
      <w:r>
        <w:t xml:space="preserve">Part 1: </w:t>
      </w:r>
      <w:proofErr w:type="spellStart"/>
      <w:r>
        <w:t>Why</w:t>
      </w:r>
      <w:proofErr w:type="spellEnd"/>
      <w:r>
        <w:t xml:space="preserve"> do CLIL (MIUR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makers</w:t>
      </w:r>
      <w:proofErr w:type="spellEnd"/>
      <w:r>
        <w:t xml:space="preserve">); </w:t>
      </w:r>
    </w:p>
    <w:p w:rsidR="0000438E" w:rsidRDefault="00EB0C6E">
      <w:pPr>
        <w:numPr>
          <w:ilvl w:val="0"/>
          <w:numId w:val="1"/>
        </w:numPr>
      </w:pPr>
      <w:r>
        <w:t xml:space="preserve">Part 2: How to do CLIL (How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(</w:t>
      </w:r>
      <w:proofErr w:type="spellStart"/>
      <w:r>
        <w:t>Learning</w:t>
      </w:r>
      <w:proofErr w:type="spellEnd"/>
      <w:r>
        <w:t xml:space="preserve">); </w:t>
      </w:r>
      <w:proofErr w:type="spellStart"/>
      <w:r>
        <w:t>Content</w:t>
      </w:r>
      <w:proofErr w:type="spellEnd"/>
      <w:r>
        <w:t xml:space="preserve">,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Integration</w:t>
      </w:r>
      <w:proofErr w:type="spellEnd"/>
      <w:r>
        <w:t xml:space="preserve"> (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weak</w:t>
      </w:r>
      <w:proofErr w:type="spellEnd"/>
      <w:r>
        <w:t xml:space="preserve"> CLIL </w:t>
      </w:r>
      <w:proofErr w:type="spellStart"/>
      <w:r>
        <w:t>materials</w:t>
      </w:r>
      <w:proofErr w:type="spellEnd"/>
      <w:r>
        <w:t>)</w:t>
      </w:r>
    </w:p>
    <w:p w:rsidR="0000438E" w:rsidRDefault="00EB0C6E">
      <w:pPr>
        <w:numPr>
          <w:ilvl w:val="0"/>
          <w:numId w:val="1"/>
        </w:numPr>
      </w:pPr>
      <w:r>
        <w:t xml:space="preserve">Part 3: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CLIL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trained</w:t>
      </w:r>
      <w:proofErr w:type="spellEnd"/>
      <w:r>
        <w:t xml:space="preserve">: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>.</w:t>
      </w:r>
    </w:p>
    <w:p w:rsidR="0000438E" w:rsidRDefault="0000438E"/>
    <w:p w:rsidR="0000438E" w:rsidRDefault="00EB0C6E">
      <w:hyperlink r:id="rId17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1989429" cy="2468212"/>
              <wp:effectExtent l="25400" t="25400" r="25400" b="25400"/>
              <wp:docPr id="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9429" cy="2468212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EB0C6E">
      <w:r>
        <w:pict>
          <v:rect id="_x0000_i1029" style="width:0;height:1.5pt" o:hralign="center" o:hrstd="t" o:hr="t" fillcolor="#a0a0a0" stroked="f"/>
        </w:pict>
      </w:r>
    </w:p>
    <w:p w:rsidR="0000438E" w:rsidRDefault="0000438E"/>
    <w:p w:rsidR="0000438E" w:rsidRDefault="00EB0C6E">
      <w:r>
        <w:rPr>
          <w:b/>
        </w:rPr>
        <w:t xml:space="preserve">“CLIL ESSENTIALS” (in </w:t>
      </w:r>
      <w:proofErr w:type="spellStart"/>
      <w:r>
        <w:rPr>
          <w:b/>
        </w:rPr>
        <w:t>English</w:t>
      </w:r>
      <w:proofErr w:type="spellEnd"/>
      <w:r>
        <w:rPr>
          <w:b/>
        </w:rPr>
        <w:t>):</w:t>
      </w:r>
      <w:r>
        <w:t xml:space="preserve"> </w:t>
      </w:r>
    </w:p>
    <w:p w:rsidR="0000438E" w:rsidRDefault="00EB0C6E">
      <w:proofErr w:type="spellStart"/>
      <w:r>
        <w:t>Although</w:t>
      </w:r>
      <w:proofErr w:type="spellEnd"/>
      <w:r>
        <w:t xml:space="preserve"> “</w:t>
      </w:r>
      <w:proofErr w:type="spellStart"/>
      <w:r>
        <w:t>about</w:t>
      </w:r>
      <w:proofErr w:type="spellEnd"/>
      <w:r>
        <w:t xml:space="preserve"> CLIL”, </w:t>
      </w:r>
      <w:proofErr w:type="spellStart"/>
      <w:r>
        <w:t>Peeter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general </w:t>
      </w:r>
      <w:proofErr w:type="spellStart"/>
      <w:r>
        <w:t>teacher-training</w:t>
      </w:r>
      <w:proofErr w:type="spellEnd"/>
      <w:r>
        <w:t xml:space="preserve"> at </w:t>
      </w:r>
      <w:proofErr w:type="spellStart"/>
      <w:r>
        <w:t>secondary</w:t>
      </w:r>
      <w:proofErr w:type="spellEnd"/>
      <w:r>
        <w:t>.</w:t>
      </w:r>
    </w:p>
    <w:p w:rsidR="0000438E" w:rsidRDefault="00EB0C6E">
      <w:hyperlink r:id="rId19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1871663" cy="2435874"/>
              <wp:effectExtent l="0" t="0" r="0" b="0"/>
              <wp:docPr id="7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2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1663" cy="243587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00438E"/>
    <w:p w:rsidR="0000438E" w:rsidRDefault="00EB0C6E">
      <w:r>
        <w:pict>
          <v:rect id="_x0000_i1030" style="width:0;height:1.5pt" o:hralign="center" o:hrstd="t" o:hr="t" fillcolor="#a0a0a0" stroked="f"/>
        </w:pict>
      </w:r>
    </w:p>
    <w:p w:rsidR="0000438E" w:rsidRDefault="0000438E"/>
    <w:p w:rsidR="0000438E" w:rsidRDefault="0000438E"/>
    <w:p w:rsidR="0000438E" w:rsidRDefault="00EB0C6E">
      <w:r>
        <w:t>More</w:t>
      </w:r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articles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CLIL:</w:t>
      </w:r>
    </w:p>
    <w:p w:rsidR="0000438E" w:rsidRDefault="00EB0C6E">
      <w:hyperlink r:id="rId21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2009775" cy="5605463"/>
              <wp:effectExtent l="25400" t="25400" r="25400" b="25400"/>
              <wp:docPr id="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2"/>
                      <a:srcRect/>
                      <a:stretch>
                        <a:fillRect/>
                      </a:stretch>
                    </pic:blipFill>
                    <pic:spPr>
                      <a:xfrm rot="5400000">
                        <a:off x="0" y="0"/>
                        <a:ext cx="2009775" cy="5605463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00438E"/>
    <w:p w:rsidR="0000438E" w:rsidRDefault="0000438E"/>
    <w:p w:rsidR="0000438E" w:rsidRDefault="00EB0C6E">
      <w:hyperlink r:id="rId23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5731200" cy="2527300"/>
              <wp:effectExtent l="25400" t="25400" r="25400" b="25400"/>
              <wp:docPr id="2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527300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p w:rsidR="0000438E" w:rsidRDefault="0000438E"/>
    <w:p w:rsidR="0000438E" w:rsidRDefault="00EB0C6E">
      <w:hyperlink r:id="rId25">
        <w:r>
          <w:rPr>
            <w:noProof/>
            <w:color w:val="1155CC"/>
            <w:u w:val="single"/>
          </w:rPr>
          <w:drawing>
            <wp:inline distT="114300" distB="114300" distL="114300" distR="114300">
              <wp:extent cx="5731200" cy="2057400"/>
              <wp:effectExtent l="25400" t="25400" r="25400" b="25400"/>
              <wp:docPr id="1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057400"/>
                      </a:xfrm>
                      <a:prstGeom prst="rect">
                        <a:avLst/>
                      </a:prstGeom>
                      <a:ln w="25400">
                        <a:solidFill>
                          <a:srgbClr val="EFEFEF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:rsidR="0000438E" w:rsidRDefault="0000438E"/>
    <w:sectPr w:rsidR="0000438E">
      <w:headerReference w:type="default" r:id="rId27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C6E" w:rsidRDefault="00EB0C6E">
      <w:pPr>
        <w:spacing w:line="240" w:lineRule="auto"/>
      </w:pPr>
      <w:r>
        <w:separator/>
      </w:r>
    </w:p>
  </w:endnote>
  <w:endnote w:type="continuationSeparator" w:id="0">
    <w:p w:rsidR="00EB0C6E" w:rsidRDefault="00EB0C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C6E" w:rsidRDefault="00EB0C6E">
      <w:pPr>
        <w:spacing w:line="240" w:lineRule="auto"/>
      </w:pPr>
      <w:r>
        <w:separator/>
      </w:r>
    </w:p>
  </w:footnote>
  <w:footnote w:type="continuationSeparator" w:id="0">
    <w:p w:rsidR="00EB0C6E" w:rsidRDefault="00EB0C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38E" w:rsidRDefault="00EB0C6E">
    <w:pPr>
      <w:jc w:val="center"/>
      <w:rPr>
        <w:color w:val="B7B7B7"/>
      </w:rPr>
    </w:pPr>
    <w:r>
      <w:rPr>
        <w:color w:val="B7B7B7"/>
      </w:rPr>
      <w:t xml:space="preserve">Y.L. Teresa Ting: </w:t>
    </w:r>
    <w:proofErr w:type="spellStart"/>
    <w:r>
      <w:rPr>
        <w:color w:val="B7B7B7"/>
      </w:rPr>
      <w:t>Follow</w:t>
    </w:r>
    <w:proofErr w:type="spellEnd"/>
    <w:r>
      <w:rPr>
        <w:color w:val="B7B7B7"/>
      </w:rPr>
      <w:t xml:space="preserve">-up </w:t>
    </w:r>
    <w:proofErr w:type="spellStart"/>
    <w:r>
      <w:rPr>
        <w:color w:val="B7B7B7"/>
      </w:rPr>
      <w:t>from</w:t>
    </w:r>
    <w:proofErr w:type="spellEnd"/>
    <w:r>
      <w:rPr>
        <w:color w:val="B7B7B7"/>
      </w:rPr>
      <w:t xml:space="preserve"> Brdo </w:t>
    </w:r>
    <w:proofErr w:type="spellStart"/>
    <w:r>
      <w:rPr>
        <w:color w:val="B7B7B7"/>
      </w:rPr>
      <w:t>July</w:t>
    </w:r>
    <w:proofErr w:type="spellEnd"/>
    <w:r>
      <w:rPr>
        <w:color w:val="B7B7B7"/>
      </w:rPr>
      <w:t xml:space="preserve"> 01 2022</w:t>
    </w:r>
  </w:p>
  <w:p w:rsidR="0000438E" w:rsidRDefault="00EB0C6E">
    <w:pPr>
      <w:jc w:val="center"/>
      <w:rPr>
        <w:color w:val="B7B7B7"/>
      </w:rPr>
    </w:pPr>
    <w:r>
      <w:rPr>
        <w:color w:val="B7B7B7"/>
      </w:rPr>
      <w:t xml:space="preserve">Reference </w:t>
    </w:r>
    <w:proofErr w:type="spellStart"/>
    <w:r>
      <w:rPr>
        <w:color w:val="B7B7B7"/>
      </w:rPr>
      <w:t>Materials</w:t>
    </w:r>
    <w:proofErr w:type="spellEnd"/>
    <w:r>
      <w:rPr>
        <w:color w:val="B7B7B7"/>
      </w:rPr>
      <w:t xml:space="preserve"> </w:t>
    </w:r>
    <w:proofErr w:type="spellStart"/>
    <w:r>
      <w:rPr>
        <w:color w:val="B7B7B7"/>
      </w:rPr>
      <w:t>for</w:t>
    </w:r>
    <w:proofErr w:type="spellEnd"/>
    <w:r>
      <w:rPr>
        <w:color w:val="B7B7B7"/>
      </w:rPr>
      <w:t xml:space="preserve"> </w:t>
    </w:r>
    <w:proofErr w:type="spellStart"/>
    <w:r>
      <w:rPr>
        <w:color w:val="B7B7B7"/>
      </w:rPr>
      <w:t>Conference</w:t>
    </w:r>
    <w:proofErr w:type="spellEnd"/>
    <w:r>
      <w:rPr>
        <w:color w:val="B7B7B7"/>
      </w:rPr>
      <w:t xml:space="preserve"> </w:t>
    </w:r>
    <w:proofErr w:type="spellStart"/>
    <w:r>
      <w:rPr>
        <w:color w:val="B7B7B7"/>
      </w:rPr>
      <w:t>Participants</w:t>
    </w:r>
    <w:proofErr w:type="spellEnd"/>
  </w:p>
  <w:p w:rsidR="0000438E" w:rsidRDefault="00EB0C6E">
    <w:r>
      <w:pict>
        <v:rect id="_x0000_i1031" style="width:0;height:1.5pt" o:hralign="center" o:hrstd="t" o:hr="t" fillcolor="#a0a0a0" stroked="f"/>
      </w:pict>
    </w:r>
  </w:p>
  <w:p w:rsidR="0000438E" w:rsidRDefault="00EB0C6E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333B1"/>
    <w:multiLevelType w:val="multilevel"/>
    <w:tmpl w:val="A038F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8E"/>
    <w:rsid w:val="0000438E"/>
    <w:rsid w:val="008068B6"/>
    <w:rsid w:val="00EB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82C3A1-9579-4A3F-8DD3-D2153947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ssuu.com/teresatin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vAvidgAic0SIqaLa-a8qy-apHK2ghwfg/view?usp=sharing" TargetMode="External"/><Relationship Id="rId7" Type="http://schemas.openxmlformats.org/officeDocument/2006/relationships/hyperlink" Target="https://drive.google.com/file/d/1Kqxm2G0gwJoerBreAoi-b91oA6KNhsS8/view?usp=sharing" TargetMode="External"/><Relationship Id="rId12" Type="http://schemas.openxmlformats.org/officeDocument/2006/relationships/hyperlink" Target="https://www.acs.org/content/acs/en/education/resources/k-8/inquiryinaction/fifth-grade/chapter-1-investigating-matter-at-the-particle-level/dissolving-an-m-and-m.html" TargetMode="External"/><Relationship Id="rId17" Type="http://schemas.openxmlformats.org/officeDocument/2006/relationships/hyperlink" Target="https://www.ibs.it/fare-clil-perche-principi-prove-libro-yen-ling-teresa-ting/e/9788833590783?lgw_code=1122-B9788833590783&amp;gclid=CjwKCAjw_b6WBhAQEiwAp4HyIAGQHf1N5IYUdNE1hCP2rLWg1AY51expIvrKBsHEc3U6L7vnOLDrZRoCaNMQAvD_BwE" TargetMode="External"/><Relationship Id="rId25" Type="http://schemas.openxmlformats.org/officeDocument/2006/relationships/hyperlink" Target="https://drive.google.com/file/d/1mQtDXljLI0qrm6V65n3tFxStBliGej5k/view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s.org/content/acs/en/education/whatischemistry/adventures-in-chemistry/experiments/dissolving-m-ms.html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zrHsdseFx9pEriolSG5VHFK21QEY9CpF/view?usp=sharing" TargetMode="External"/><Relationship Id="rId23" Type="http://schemas.openxmlformats.org/officeDocument/2006/relationships/hyperlink" Target="https://drive.google.com/file/d/1fYughCmSTrKqdr8QHSIKAJJYm-xaIF-W/view?usp=sharin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rive.google.com/drive/folders/1SrzLmnu_p8GRbre4MFYf1EvWLalkG4Mq?usp=sharing" TargetMode="External"/><Relationship Id="rId19" Type="http://schemas.openxmlformats.org/officeDocument/2006/relationships/hyperlink" Target="https://www.amazon.com/CLIL-Essentials-Secondary-School-Teachers/dp/11084008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Lesničar</dc:creator>
  <cp:lastModifiedBy>Barbara Lesničar</cp:lastModifiedBy>
  <cp:revision>2</cp:revision>
  <dcterms:created xsi:type="dcterms:W3CDTF">2022-08-16T07:55:00Z</dcterms:created>
  <dcterms:modified xsi:type="dcterms:W3CDTF">2022-08-16T07:55:00Z</dcterms:modified>
</cp:coreProperties>
</file>