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791"/>
        <w:gridCol w:w="10493"/>
      </w:tblGrid>
      <w:tr w:rsidR="00B851C8" w:rsidTr="00FD6BD6">
        <w:trPr>
          <w:tblCellSpacing w:w="20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591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Datum: </w:t>
            </w:r>
            <w:r w:rsidR="00591883">
              <w:rPr>
                <w:sz w:val="22"/>
                <w:szCs w:val="22"/>
              </w:rPr>
              <w:t>03</w:t>
            </w:r>
            <w:r w:rsidR="001D36FE">
              <w:rPr>
                <w:sz w:val="22"/>
                <w:szCs w:val="22"/>
              </w:rPr>
              <w:t>/</w:t>
            </w:r>
            <w:r w:rsidR="009D59FC">
              <w:rPr>
                <w:sz w:val="22"/>
                <w:szCs w:val="22"/>
              </w:rPr>
              <w:t>0</w:t>
            </w:r>
            <w:r w:rsidR="00591883">
              <w:rPr>
                <w:sz w:val="22"/>
                <w:szCs w:val="22"/>
              </w:rPr>
              <w:t>6</w:t>
            </w:r>
            <w:r w:rsidR="001D36FE">
              <w:rPr>
                <w:sz w:val="22"/>
                <w:szCs w:val="22"/>
              </w:rPr>
              <w:t xml:space="preserve"> - 2013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3A2FAF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Projekt</w:t>
            </w:r>
            <w:r w:rsidR="003A2FAF"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OBOGATENO UČENJE TUJIH JEZIKOV</w:t>
            </w:r>
            <w:r w:rsidR="00EF5636">
              <w:rPr>
                <w:b/>
                <w:sz w:val="22"/>
                <w:szCs w:val="21"/>
              </w:rPr>
              <w:t xml:space="preserve"> II</w:t>
            </w:r>
            <w:r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45759D" w:rsidRDefault="0045759D"/>
    <w:p w:rsidR="00EF5636" w:rsidRDefault="00EF5636"/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  <w:r w:rsidRPr="00103D7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 w:rsidRPr="00103D72">
        <w:rPr>
          <w:rFonts w:ascii="Tahoma" w:hAnsi="Tahoma" w:cs="Tahoma"/>
          <w:b/>
          <w:sz w:val="22"/>
          <w:szCs w:val="22"/>
        </w:rPr>
        <w:t>PriŠ</w:t>
      </w:r>
      <w:proofErr w:type="spellEnd"/>
    </w:p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mrea1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74"/>
      </w:tblGrid>
      <w:tr w:rsidR="00103D72" w:rsidRPr="00103D72" w:rsidTr="003C4F14">
        <w:tc>
          <w:tcPr>
            <w:tcW w:w="5000" w:type="pct"/>
            <w:shd w:val="clear" w:color="auto" w:fill="D9D9D9" w:themeFill="background1" w:themeFillShade="D9"/>
          </w:tcPr>
          <w:p w:rsidR="00103D72" w:rsidRPr="00103D72" w:rsidRDefault="00103D72" w:rsidP="00103D72">
            <w:pPr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Modeliranje z USP </w:t>
            </w:r>
            <w:r w:rsidRPr="00103D72">
              <w:rPr>
                <w:rFonts w:ascii="Tahoma" w:hAnsi="Tahoma" w:cs="Tahoma"/>
                <w:sz w:val="32"/>
                <w:szCs w:val="40"/>
              </w:rPr>
              <w:t>(</w:t>
            </w:r>
            <w:r w:rsidR="00C64854">
              <w:rPr>
                <w:rFonts w:ascii="Tahoma" w:hAnsi="Tahoma" w:cs="Tahoma"/>
                <w:sz w:val="32"/>
                <w:szCs w:val="40"/>
              </w:rPr>
              <w:t xml:space="preserve">Gimnazija </w:t>
            </w:r>
            <w:r w:rsidR="00AF7AEE">
              <w:rPr>
                <w:rFonts w:ascii="Tahoma" w:hAnsi="Tahoma" w:cs="Tahoma"/>
                <w:sz w:val="32"/>
                <w:szCs w:val="40"/>
              </w:rPr>
              <w:t>Ptuj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, </w:t>
            </w:r>
            <w:r w:rsidR="00AF7AEE">
              <w:rPr>
                <w:rFonts w:ascii="Tahoma" w:hAnsi="Tahoma" w:cs="Tahoma"/>
                <w:sz w:val="32"/>
                <w:szCs w:val="40"/>
              </w:rPr>
              <w:t>Ptuj</w:t>
            </w:r>
            <w:r w:rsidR="00E64416">
              <w:rPr>
                <w:rFonts w:ascii="Tahoma" w:hAnsi="Tahoma" w:cs="Tahoma"/>
                <w:sz w:val="32"/>
                <w:szCs w:val="40"/>
              </w:rPr>
              <w:t xml:space="preserve"> 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– </w:t>
            </w:r>
            <w:r w:rsidR="00AF7AEE">
              <w:rPr>
                <w:rFonts w:ascii="Tahoma" w:hAnsi="Tahoma" w:cs="Tahoma"/>
                <w:sz w:val="32"/>
                <w:szCs w:val="40"/>
              </w:rPr>
              <w:t>31</w:t>
            </w:r>
            <w:r w:rsidRPr="00103D72">
              <w:rPr>
                <w:rFonts w:ascii="Tahoma" w:hAnsi="Tahoma" w:cs="Tahoma"/>
                <w:sz w:val="32"/>
                <w:szCs w:val="40"/>
              </w:rPr>
              <w:t>/</w:t>
            </w:r>
            <w:r w:rsidR="00A44082">
              <w:rPr>
                <w:rFonts w:ascii="Tahoma" w:hAnsi="Tahoma" w:cs="Tahoma"/>
                <w:sz w:val="32"/>
                <w:szCs w:val="40"/>
              </w:rPr>
              <w:t>5</w:t>
            </w:r>
            <w:r w:rsidRPr="00103D72">
              <w:rPr>
                <w:rFonts w:ascii="Tahoma" w:hAnsi="Tahoma" w:cs="Tahoma"/>
                <w:sz w:val="32"/>
                <w:szCs w:val="40"/>
              </w:rPr>
              <w:t>-2013)</w:t>
            </w:r>
          </w:p>
          <w:p w:rsidR="00103D72" w:rsidRPr="00103D72" w:rsidRDefault="00103D72" w:rsidP="00C64854">
            <w:pPr>
              <w:jc w:val="center"/>
              <w:rPr>
                <w:sz w:val="22"/>
                <w:szCs w:val="22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ANALIZA </w:t>
            </w:r>
            <w:r w:rsidR="00C64854">
              <w:rPr>
                <w:rFonts w:ascii="Tahoma" w:hAnsi="Tahoma" w:cs="Tahoma"/>
                <w:b/>
                <w:sz w:val="32"/>
                <w:szCs w:val="40"/>
              </w:rPr>
              <w:t>2</w:t>
            </w: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. učne ure: OPAZOVALNI PROTOKOL/OBRAZEC št. </w:t>
            </w:r>
            <w:r>
              <w:rPr>
                <w:rFonts w:ascii="Tahoma" w:hAnsi="Tahoma" w:cs="Tahoma"/>
                <w:b/>
                <w:sz w:val="32"/>
                <w:szCs w:val="40"/>
              </w:rPr>
              <w:t>2</w:t>
            </w:r>
          </w:p>
        </w:tc>
      </w:tr>
    </w:tbl>
    <w:p w:rsidR="00103D72" w:rsidRPr="00103D72" w:rsidRDefault="00103D72" w:rsidP="00103D72">
      <w:pPr>
        <w:rPr>
          <w:b/>
          <w:sz w:val="22"/>
          <w:szCs w:val="28"/>
        </w:rPr>
      </w:pPr>
    </w:p>
    <w:p w:rsidR="00103D72" w:rsidRPr="00103D72" w:rsidRDefault="00103D72" w:rsidP="003C4F14">
      <w:pPr>
        <w:numPr>
          <w:ilvl w:val="0"/>
          <w:numId w:val="2"/>
        </w:numPr>
        <w:shd w:val="clear" w:color="auto" w:fill="D9D9D9" w:themeFill="background1" w:themeFillShade="D9"/>
        <w:rPr>
          <w:b/>
          <w:sz w:val="22"/>
          <w:szCs w:val="28"/>
        </w:rPr>
      </w:pPr>
      <w:r w:rsidRPr="00103D72">
        <w:rPr>
          <w:b/>
          <w:sz w:val="22"/>
          <w:szCs w:val="28"/>
        </w:rPr>
        <w:t>Utemeljitev pristopa k evalvaciji</w:t>
      </w:r>
    </w:p>
    <w:p w:rsidR="00103D72" w:rsidRPr="00103D72" w:rsidRDefault="00103D72" w:rsidP="00103D72">
      <w:pPr>
        <w:rPr>
          <w:b/>
          <w:sz w:val="22"/>
          <w:szCs w:val="28"/>
        </w:rPr>
      </w:pPr>
    </w:p>
    <w:tbl>
      <w:tblPr>
        <w:tblStyle w:val="Tabela-mrea1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103D72" w:rsidRPr="00103D72" w:rsidTr="009442E2">
        <w:tc>
          <w:tcPr>
            <w:tcW w:w="5000" w:type="pct"/>
          </w:tcPr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Delavnico Opazovanje timsko izvedenega pouka smo oblikovali z dvema medsebojno soodvisno povezanima namenoma oz. ciljema: </w:t>
            </w:r>
          </w:p>
          <w:p w:rsidR="00CA48DB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Splošna cilja sta</w:t>
            </w:r>
          </w:p>
          <w:p w:rsid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Usposabljanje za sistematično, objektivno kritično in selektivno (medsebojno, tj. </w:t>
            </w:r>
            <w:proofErr w:type="spellStart"/>
            <w:r>
              <w:rPr>
                <w:sz w:val="20"/>
                <w:szCs w:val="28"/>
              </w:rPr>
              <w:t>kolegialno</w:t>
            </w:r>
            <w:proofErr w:type="spellEnd"/>
            <w:r>
              <w:rPr>
                <w:sz w:val="20"/>
                <w:szCs w:val="28"/>
              </w:rPr>
              <w:t>) opazovanje ter</w:t>
            </w:r>
          </w:p>
          <w:p w:rsidR="00CA48DB" w:rsidRP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Poglabljanje poznavanja sistema sodelovalnega in timskega poučevanja.</w:t>
            </w:r>
          </w:p>
          <w:p w:rsidR="00103D72" w:rsidRPr="00103D72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Operativni cilj pa je opazovanje določenih izbranih komponent timskega pouka</w:t>
            </w:r>
            <w:r w:rsidR="00103D72" w:rsidRPr="00103D72">
              <w:rPr>
                <w:sz w:val="20"/>
                <w:szCs w:val="28"/>
              </w:rPr>
              <w:t xml:space="preserve">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Opazovanje ni bilo namenjeno evalvaciji učne ure, ampak je bilo osredinjeno na interakcijo med učiteljema in na komunikacijo učiteljev z dijaki.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Po uvodni predstavitvi metode pedagoškega opazovanja in po podrobnejši obrazložitvi in utemeljitvi protokola </w:t>
            </w:r>
            <w:proofErr w:type="spellStart"/>
            <w:r w:rsidRPr="00103D72">
              <w:rPr>
                <w:sz w:val="20"/>
                <w:szCs w:val="28"/>
              </w:rPr>
              <w:t>kolegialnega</w:t>
            </w:r>
            <w:proofErr w:type="spellEnd"/>
            <w:r w:rsidRPr="00103D72">
              <w:rPr>
                <w:sz w:val="20"/>
                <w:szCs w:val="28"/>
              </w:rPr>
              <w:t xml:space="preserve"> opazovanja so udeleženci usposabljanja opazovali </w:t>
            </w:r>
            <w:r w:rsidR="000858C9">
              <w:rPr>
                <w:sz w:val="20"/>
                <w:szCs w:val="28"/>
              </w:rPr>
              <w:t xml:space="preserve">dve (2) </w:t>
            </w:r>
            <w:r w:rsidRPr="00103D72">
              <w:rPr>
                <w:sz w:val="20"/>
                <w:szCs w:val="28"/>
              </w:rPr>
              <w:t>celotn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timsko izveden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učn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ur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</w:t>
            </w:r>
            <w:r w:rsidR="00AF7AEE">
              <w:rPr>
                <w:sz w:val="20"/>
                <w:szCs w:val="28"/>
              </w:rPr>
              <w:t>angleščine</w:t>
            </w:r>
            <w:r w:rsidR="00031D15">
              <w:rPr>
                <w:sz w:val="20"/>
                <w:szCs w:val="28"/>
              </w:rPr>
              <w:t xml:space="preserve"> </w:t>
            </w:r>
            <w:r w:rsidRPr="00103D72">
              <w:rPr>
                <w:sz w:val="20"/>
                <w:szCs w:val="28"/>
              </w:rPr>
              <w:t xml:space="preserve">in svoja opažanja zabeležili v za to predvideni protokol, ki vključuje naslednje iztočnice </w:t>
            </w:r>
            <w:r w:rsidR="00CA48DB">
              <w:rPr>
                <w:sz w:val="20"/>
                <w:szCs w:val="28"/>
              </w:rPr>
              <w:t xml:space="preserve">(zgoraj omenjene komponente) </w:t>
            </w:r>
            <w:r w:rsidRPr="00103D72">
              <w:rPr>
                <w:sz w:val="20"/>
                <w:szCs w:val="28"/>
              </w:rPr>
              <w:t>za opazovanje in zapis opažanj: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F37818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Dogajanja (tj. ravnanja, dejavnosti, odzivi …)</w:t>
            </w:r>
          </w:p>
          <w:p w:rsidR="00103D72" w:rsidRDefault="00F37818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Utemeljitev</w:t>
            </w:r>
            <w:r w:rsidR="003B5DAD">
              <w:rPr>
                <w:sz w:val="20"/>
                <w:szCs w:val="28"/>
              </w:rPr>
              <w:t xml:space="preserve"> (tj. v čem/zakaj je to DV)</w:t>
            </w:r>
          </w:p>
          <w:p w:rsidR="00BE2705" w:rsidRPr="00103D72" w:rsidRDefault="00BE2705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Končne ugotovitve, komentarji, vprašanja …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0858C9" w:rsidP="00103D7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Analiza temelji na opažanjih u</w:t>
            </w:r>
            <w:r w:rsidR="00E34B61">
              <w:rPr>
                <w:sz w:val="20"/>
                <w:szCs w:val="28"/>
              </w:rPr>
              <w:t>deleženc</w:t>
            </w:r>
            <w:r>
              <w:rPr>
                <w:sz w:val="20"/>
                <w:szCs w:val="28"/>
              </w:rPr>
              <w:t xml:space="preserve">ev modeliranja </w:t>
            </w:r>
            <w:r w:rsidR="00C64854">
              <w:rPr>
                <w:sz w:val="20"/>
                <w:szCs w:val="28"/>
              </w:rPr>
              <w:t>druge</w:t>
            </w:r>
            <w:r>
              <w:rPr>
                <w:sz w:val="20"/>
                <w:szCs w:val="28"/>
              </w:rPr>
              <w:t xml:space="preserve"> (</w:t>
            </w:r>
            <w:r w:rsidR="00C64854">
              <w:rPr>
                <w:sz w:val="20"/>
                <w:szCs w:val="28"/>
              </w:rPr>
              <w:t>2</w:t>
            </w:r>
            <w:r>
              <w:rPr>
                <w:sz w:val="20"/>
                <w:szCs w:val="28"/>
              </w:rPr>
              <w:t>.)</w:t>
            </w:r>
            <w:r w:rsidR="00E34B61">
              <w:rPr>
                <w:sz w:val="20"/>
                <w:szCs w:val="28"/>
              </w:rPr>
              <w:t xml:space="preserve"> učn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ur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interaktivnega timskega pouka </w:t>
            </w:r>
            <w:r w:rsidR="0001698E">
              <w:rPr>
                <w:sz w:val="20"/>
                <w:szCs w:val="28"/>
              </w:rPr>
              <w:t xml:space="preserve">pri predmetu </w:t>
            </w:r>
            <w:r w:rsidR="00AF7AEE">
              <w:rPr>
                <w:sz w:val="20"/>
                <w:szCs w:val="28"/>
              </w:rPr>
              <w:t>angleščine</w:t>
            </w:r>
            <w:r w:rsidR="00A44082">
              <w:rPr>
                <w:sz w:val="20"/>
                <w:szCs w:val="28"/>
              </w:rPr>
              <w:t>, ki sta jo izvedla</w:t>
            </w:r>
            <w:r w:rsidR="00E34B61">
              <w:rPr>
                <w:sz w:val="20"/>
                <w:szCs w:val="28"/>
              </w:rPr>
              <w:t xml:space="preserve"> </w:t>
            </w:r>
            <w:r w:rsidR="00AF7AEE">
              <w:rPr>
                <w:sz w:val="20"/>
                <w:szCs w:val="28"/>
              </w:rPr>
              <w:t>Benjamin Tweedie</w:t>
            </w:r>
            <w:r w:rsidR="00E34B61">
              <w:rPr>
                <w:sz w:val="20"/>
                <w:szCs w:val="28"/>
              </w:rPr>
              <w:t xml:space="preserve">, prof., in </w:t>
            </w:r>
            <w:r w:rsidR="00AF7AEE">
              <w:rPr>
                <w:sz w:val="20"/>
                <w:szCs w:val="28"/>
              </w:rPr>
              <w:t>Filipe de Almeida</w:t>
            </w:r>
            <w:r w:rsidR="00C64854">
              <w:rPr>
                <w:sz w:val="20"/>
                <w:szCs w:val="28"/>
              </w:rPr>
              <w:t>, prof</w:t>
            </w:r>
            <w:r w:rsidR="00E34B61">
              <w:rPr>
                <w:sz w:val="20"/>
                <w:szCs w:val="28"/>
              </w:rPr>
              <w:t xml:space="preserve">. </w:t>
            </w:r>
            <w:r w:rsidR="00CA48DB">
              <w:rPr>
                <w:sz w:val="20"/>
                <w:szCs w:val="28"/>
              </w:rPr>
              <w:t>Za povratne informacije smo uporabili opazovalni protokol/obrazec št. 2.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Število oddanih in analiziranih opazovalnih listov:  </w:t>
            </w:r>
            <w:r w:rsidR="00AF7AEE">
              <w:rPr>
                <w:sz w:val="20"/>
                <w:szCs w:val="28"/>
              </w:rPr>
              <w:t>5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b/>
                <w:sz w:val="22"/>
                <w:szCs w:val="28"/>
              </w:rPr>
            </w:pPr>
            <w:r w:rsidRPr="00103D72">
              <w:rPr>
                <w:sz w:val="20"/>
                <w:szCs w:val="28"/>
              </w:rPr>
              <w:t>V nadaljevanju v analizi delavnice najprej povzemamo zapisana opažanja učiteljev in jih nato komentiramo.</w:t>
            </w:r>
            <w:r w:rsidRPr="00103D72">
              <w:rPr>
                <w:b/>
                <w:sz w:val="20"/>
                <w:szCs w:val="28"/>
              </w:rPr>
              <w:t xml:space="preserve"> </w:t>
            </w:r>
          </w:p>
        </w:tc>
      </w:tr>
    </w:tbl>
    <w:p w:rsidR="00E34B61" w:rsidRPr="00155233" w:rsidRDefault="00E34B61" w:rsidP="00C81206">
      <w:pPr>
        <w:rPr>
          <w:rFonts w:ascii="Tahoma" w:hAnsi="Tahoma" w:cs="Tahoma"/>
          <w:sz w:val="22"/>
          <w:szCs w:val="22"/>
        </w:rPr>
      </w:pPr>
    </w:p>
    <w:p w:rsidR="00B851C8" w:rsidRPr="00155233" w:rsidRDefault="002C51E4" w:rsidP="003C4F14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 w:rsidRPr="00155233">
        <w:rPr>
          <w:rFonts w:ascii="Tahoma" w:hAnsi="Tahoma" w:cs="Tahoma"/>
          <w:b/>
          <w:sz w:val="22"/>
          <w:szCs w:val="22"/>
        </w:rPr>
        <w:lastRenderedPageBreak/>
        <w:t>2</w:t>
      </w:r>
      <w:r w:rsidRPr="00155233">
        <w:rPr>
          <w:rFonts w:ascii="Tahoma" w:hAnsi="Tahoma" w:cs="Tahoma"/>
          <w:b/>
          <w:sz w:val="22"/>
          <w:szCs w:val="22"/>
        </w:rPr>
        <w:tab/>
        <w:t>Povzetek in a</w:t>
      </w:r>
      <w:r w:rsidR="00B851C8" w:rsidRPr="00155233">
        <w:rPr>
          <w:rFonts w:ascii="Tahoma" w:hAnsi="Tahoma" w:cs="Tahoma"/>
          <w:b/>
          <w:sz w:val="22"/>
          <w:szCs w:val="22"/>
        </w:rPr>
        <w:t>naliza zapisov opažanj</w:t>
      </w:r>
    </w:p>
    <w:p w:rsidR="00B851C8" w:rsidRDefault="00B851C8" w:rsidP="00B851C8">
      <w:pPr>
        <w:rPr>
          <w:sz w:val="22"/>
          <w:szCs w:val="22"/>
        </w:rPr>
      </w:pPr>
    </w:p>
    <w:p w:rsidR="00BE2705" w:rsidRPr="00BE2705" w:rsidRDefault="00BE2705" w:rsidP="00B851C8">
      <w:pPr>
        <w:rPr>
          <w:rFonts w:ascii="Arial Narrow" w:hAnsi="Arial Narrow"/>
          <w:b/>
          <w:sz w:val="22"/>
          <w:szCs w:val="22"/>
        </w:rPr>
      </w:pPr>
      <w:r w:rsidRPr="00BE2705">
        <w:rPr>
          <w:rFonts w:ascii="Arial Narrow" w:hAnsi="Arial Narrow"/>
          <w:b/>
          <w:sz w:val="22"/>
          <w:szCs w:val="22"/>
        </w:rPr>
        <w:t>2.1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33"/>
        <w:gridCol w:w="6648"/>
        <w:gridCol w:w="6993"/>
      </w:tblGrid>
      <w:tr w:rsidR="0037775D" w:rsidTr="00305763">
        <w:tc>
          <w:tcPr>
            <w:tcW w:w="188" w:type="pct"/>
          </w:tcPr>
          <w:p w:rsidR="0037775D" w:rsidRPr="003B5DAD" w:rsidRDefault="0037775D" w:rsidP="0037775D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3B5DAD">
              <w:rPr>
                <w:b/>
                <w:sz w:val="22"/>
                <w:szCs w:val="22"/>
              </w:rPr>
              <w:t>Št.</w:t>
            </w:r>
          </w:p>
        </w:tc>
        <w:tc>
          <w:tcPr>
            <w:tcW w:w="2345" w:type="pct"/>
          </w:tcPr>
          <w:p w:rsidR="0037775D" w:rsidRPr="006A73E4" w:rsidRDefault="0037775D" w:rsidP="003B5D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3E4">
              <w:rPr>
                <w:rFonts w:ascii="Arial Narrow" w:hAnsi="Arial Narrow"/>
                <w:b/>
                <w:sz w:val="20"/>
                <w:szCs w:val="20"/>
              </w:rPr>
              <w:t>Dogajanja</w:t>
            </w:r>
            <w:r w:rsidRPr="006A73E4">
              <w:rPr>
                <w:rFonts w:ascii="Arial Narrow" w:hAnsi="Arial Narrow"/>
                <w:sz w:val="20"/>
                <w:szCs w:val="20"/>
              </w:rPr>
              <w:t xml:space="preserve"> (tj. ravnanja, dejavnosti, odzivi …)</w:t>
            </w:r>
          </w:p>
        </w:tc>
        <w:tc>
          <w:tcPr>
            <w:tcW w:w="2467" w:type="pct"/>
          </w:tcPr>
          <w:p w:rsidR="0037775D" w:rsidRPr="006A73E4" w:rsidRDefault="003B5DAD" w:rsidP="003B5D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3E4">
              <w:rPr>
                <w:rFonts w:ascii="Arial Narrow" w:hAnsi="Arial Narrow"/>
                <w:b/>
                <w:sz w:val="20"/>
                <w:szCs w:val="20"/>
              </w:rPr>
              <w:t xml:space="preserve">Utemeljitev </w:t>
            </w:r>
            <w:r w:rsidRPr="006A73E4">
              <w:rPr>
                <w:rFonts w:ascii="Arial Narrow" w:hAnsi="Arial Narrow"/>
                <w:sz w:val="20"/>
                <w:szCs w:val="20"/>
              </w:rPr>
              <w:t>(tj. v čem/zakaj je to DV)</w:t>
            </w:r>
          </w:p>
        </w:tc>
      </w:tr>
      <w:tr w:rsidR="00855EF3" w:rsidTr="006A1146">
        <w:trPr>
          <w:trHeight w:val="134"/>
        </w:trPr>
        <w:tc>
          <w:tcPr>
            <w:tcW w:w="188" w:type="pct"/>
            <w:vMerge w:val="restart"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55EF3" w:rsidRPr="006A73E4" w:rsidRDefault="00A734D4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Poslušanje intervjuja: dijaki so razumeli intervju, razumeli so tudi, v čem je problem (nevljudnost)</w:t>
            </w:r>
          </w:p>
        </w:tc>
        <w:tc>
          <w:tcPr>
            <w:tcW w:w="2467" w:type="pct"/>
          </w:tcPr>
          <w:p w:rsidR="00855EF3" w:rsidRPr="00EE62E8" w:rsidRDefault="00A734D4" w:rsidP="00EE62E8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Tema je dijakom domača, poznana, zato se lahko bolj sproščeno vključujejo v pogovor</w:t>
            </w:r>
          </w:p>
        </w:tc>
      </w:tr>
      <w:tr w:rsidR="00855EF3" w:rsidTr="006A1146">
        <w:trPr>
          <w:trHeight w:val="152"/>
        </w:trPr>
        <w:tc>
          <w:tcPr>
            <w:tcW w:w="188" w:type="pct"/>
            <w:vMerge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55EF3" w:rsidRDefault="00A734D4" w:rsidP="00A734D4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Razlika med slovenskim in angleškim načinom spraševanja, dajanja ukazov (namesto prošenj)</w:t>
            </w:r>
          </w:p>
        </w:tc>
        <w:tc>
          <w:tcPr>
            <w:tcW w:w="2467" w:type="pct"/>
          </w:tcPr>
          <w:p w:rsidR="00855EF3" w:rsidRDefault="00A734D4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Spoznavanje drugih kultur, navad</w:t>
            </w:r>
          </w:p>
          <w:p w:rsidR="00A734D4" w:rsidRDefault="00A734D4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Tujci lahko izpadejo smešni, če so preveč vljudni (dijaki razlagajo vzroke)</w:t>
            </w:r>
          </w:p>
        </w:tc>
      </w:tr>
      <w:tr w:rsidR="005C5253" w:rsidTr="006A1146">
        <w:trPr>
          <w:trHeight w:val="152"/>
        </w:trPr>
        <w:tc>
          <w:tcPr>
            <w:tcW w:w="188" w:type="pct"/>
            <w:vMerge/>
          </w:tcPr>
          <w:p w:rsidR="005C5253" w:rsidRPr="0037775D" w:rsidRDefault="005C525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5C5253" w:rsidRDefault="00A734D4" w:rsidP="00EB7517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ugotavljajo, če so določene geste vljudne ali ne – utemeljijo</w:t>
            </w:r>
          </w:p>
          <w:p w:rsidR="00A734D4" w:rsidRDefault="00A734D4" w:rsidP="00EB7517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Komentirajo svoje odločitve</w:t>
            </w:r>
            <w:r w:rsidR="000F0E3C">
              <w:rPr>
                <w:rFonts w:ascii="Arial Narrow" w:hAnsi="Arial Narrow"/>
                <w:sz w:val="20"/>
                <w:szCs w:val="20"/>
              </w:rPr>
              <w:t>, interpretacije</w:t>
            </w:r>
          </w:p>
        </w:tc>
        <w:tc>
          <w:tcPr>
            <w:tcW w:w="2467" w:type="pct"/>
          </w:tcPr>
          <w:p w:rsidR="005C5253" w:rsidRDefault="000F0E3C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Individualno delo (pride do izraza posameznikovo mnenje)</w:t>
            </w:r>
          </w:p>
          <w:p w:rsidR="000F0E3C" w:rsidRDefault="000F0E3C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Učijo se samostojne presoje</w:t>
            </w:r>
          </w:p>
          <w:p w:rsidR="000F0E3C" w:rsidRDefault="000F0E3C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Diskusija se lahko še bolj razvije</w:t>
            </w:r>
          </w:p>
        </w:tc>
      </w:tr>
      <w:tr w:rsidR="00855EF3" w:rsidTr="009D59FC">
        <w:trPr>
          <w:trHeight w:val="134"/>
        </w:trPr>
        <w:tc>
          <w:tcPr>
            <w:tcW w:w="188" w:type="pct"/>
            <w:vMerge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EB7517" w:rsidRPr="006A73E4" w:rsidRDefault="000F0E3C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Ogled videa – na listih označijo., kateri aspekti so izraženi</w:t>
            </w:r>
          </w:p>
        </w:tc>
        <w:tc>
          <w:tcPr>
            <w:tcW w:w="2467" w:type="pct"/>
          </w:tcPr>
          <w:p w:rsidR="00855EF3" w:rsidRDefault="000F0E3C" w:rsidP="00EE62E8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v skupinah – dijaki se pogovarjajo (vendar uporabljajo SJ)</w:t>
            </w:r>
          </w:p>
          <w:p w:rsidR="000F0E3C" w:rsidRDefault="000F0E3C" w:rsidP="00EE62E8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Skupno komentiranje</w:t>
            </w:r>
          </w:p>
          <w:p w:rsidR="000F0E3C" w:rsidRPr="00EE62E8" w:rsidRDefault="000F0E3C" w:rsidP="00EE62E8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Razlaga različnih kulturnih navad</w:t>
            </w:r>
          </w:p>
        </w:tc>
      </w:tr>
      <w:tr w:rsidR="00855EF3" w:rsidTr="00855EF3">
        <w:trPr>
          <w:trHeight w:val="95"/>
        </w:trPr>
        <w:tc>
          <w:tcPr>
            <w:tcW w:w="188" w:type="pct"/>
            <w:vMerge w:val="restart"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206B82" w:rsidRPr="00206B82" w:rsidRDefault="00206B82" w:rsidP="00206B82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poslušajo intervju o vtisih TU v Sloveniji</w:t>
            </w:r>
          </w:p>
          <w:p w:rsidR="00206B82" w:rsidRDefault="00206B82" w:rsidP="002A04C6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v skupinah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06B82" w:rsidRPr="006A73E4" w:rsidRDefault="00206B82" w:rsidP="002A04C6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Sledi razgovor o različnih navadah kultur/stopnjah »vljudnosti«</w:t>
            </w:r>
          </w:p>
        </w:tc>
        <w:tc>
          <w:tcPr>
            <w:tcW w:w="2467" w:type="pct"/>
          </w:tcPr>
          <w:p w:rsidR="00855EF3" w:rsidRDefault="00206B82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lahko slovenski kulturi postavi ogledalo – opazi stvari, ki so za nas normalne</w:t>
            </w:r>
          </w:p>
          <w:p w:rsidR="00206B82" w:rsidRDefault="00206B82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dijake opozori na razlike v »vljudnostih stopnjah« med slovenščino in angleščino in slovensko kulturo in drugimi kulturami – lahko pove primere iz svojih izkušenj, kako on doživlja odnose med ljudmi</w:t>
            </w:r>
          </w:p>
          <w:p w:rsidR="00206B82" w:rsidRPr="006A73E4" w:rsidRDefault="00206B82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TU bolj verjamejo, bolj se zavejo določenih stvari</w:t>
            </w:r>
          </w:p>
        </w:tc>
      </w:tr>
      <w:tr w:rsidR="005C5253" w:rsidTr="00305763">
        <w:trPr>
          <w:trHeight w:val="95"/>
        </w:trPr>
        <w:tc>
          <w:tcPr>
            <w:tcW w:w="188" w:type="pct"/>
            <w:vMerge/>
          </w:tcPr>
          <w:p w:rsidR="005C5253" w:rsidRPr="0037775D" w:rsidRDefault="005C525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5C5253" w:rsidRDefault="00206B82" w:rsidP="00895412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Razprava/opazovanje različnih gest/simbolov</w:t>
            </w:r>
          </w:p>
        </w:tc>
        <w:tc>
          <w:tcPr>
            <w:tcW w:w="2467" w:type="pct"/>
          </w:tcPr>
          <w:p w:rsidR="005C5253" w:rsidRDefault="00206B82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iz svojih izkušenj lahko predstavi različen pomen gest v različnih kulturah</w:t>
            </w:r>
          </w:p>
        </w:tc>
      </w:tr>
      <w:tr w:rsidR="00855EF3" w:rsidTr="00855EF3">
        <w:trPr>
          <w:trHeight w:val="191"/>
        </w:trPr>
        <w:tc>
          <w:tcPr>
            <w:tcW w:w="188" w:type="pct"/>
            <w:vMerge w:val="restart"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5F3D75" w:rsidRPr="005F3D75" w:rsidRDefault="00DA1871" w:rsidP="005F3D75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Poslušanje intervjuja (posnetka) na radiu</w:t>
            </w:r>
          </w:p>
        </w:tc>
        <w:tc>
          <w:tcPr>
            <w:tcW w:w="2467" w:type="pct"/>
          </w:tcPr>
          <w:p w:rsidR="00111394" w:rsidRPr="006A73E4" w:rsidRDefault="00DA1871" w:rsidP="002C67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Usmerjena pozornost na posnetek,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izluščenje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podatkov</w:t>
            </w:r>
          </w:p>
        </w:tc>
      </w:tr>
      <w:tr w:rsidR="00EB7517" w:rsidTr="00031D15">
        <w:trPr>
          <w:trHeight w:val="190"/>
        </w:trPr>
        <w:tc>
          <w:tcPr>
            <w:tcW w:w="188" w:type="pct"/>
            <w:vMerge/>
          </w:tcPr>
          <w:p w:rsidR="00EB7517" w:rsidRPr="0037775D" w:rsidRDefault="00EB7517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EB7517" w:rsidRDefault="00DA1871" w:rsidP="002C67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Prikazane slike na projekciji</w:t>
            </w:r>
          </w:p>
        </w:tc>
        <w:tc>
          <w:tcPr>
            <w:tcW w:w="2467" w:type="pct"/>
          </w:tcPr>
          <w:p w:rsidR="00111394" w:rsidRDefault="00DA1871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Usmerjena pozornost</w:t>
            </w:r>
          </w:p>
          <w:p w:rsidR="00DA1871" w:rsidRDefault="00DA1871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Spodbuja razmišljanje</w:t>
            </w:r>
          </w:p>
        </w:tc>
      </w:tr>
      <w:tr w:rsidR="00A876BB" w:rsidTr="00031D15">
        <w:trPr>
          <w:trHeight w:val="190"/>
        </w:trPr>
        <w:tc>
          <w:tcPr>
            <w:tcW w:w="188" w:type="pct"/>
            <w:vMerge w:val="restart"/>
          </w:tcPr>
          <w:p w:rsidR="00A876BB" w:rsidRPr="0037775D" w:rsidRDefault="00A876BB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A876BB" w:rsidRDefault="00DA1871" w:rsidP="002C67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Posnetek – sočasna, komplementarna razlaga</w:t>
            </w:r>
          </w:p>
        </w:tc>
        <w:tc>
          <w:tcPr>
            <w:tcW w:w="2467" w:type="pct"/>
          </w:tcPr>
          <w:p w:rsidR="00A876BB" w:rsidRDefault="00DA1871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Različna stila razlage, pristopov</w:t>
            </w:r>
          </w:p>
        </w:tc>
      </w:tr>
      <w:tr w:rsidR="00A876BB" w:rsidTr="00855EF3">
        <w:trPr>
          <w:trHeight w:val="95"/>
        </w:trPr>
        <w:tc>
          <w:tcPr>
            <w:tcW w:w="188" w:type="pct"/>
            <w:vMerge/>
          </w:tcPr>
          <w:p w:rsidR="00A876BB" w:rsidRPr="0037775D" w:rsidRDefault="00A876BB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A876BB" w:rsidRDefault="00DA1871" w:rsidP="005F3D75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Geste</w:t>
            </w:r>
          </w:p>
          <w:p w:rsidR="00DA1871" w:rsidRPr="006A73E4" w:rsidRDefault="00DA1871" w:rsidP="005F3D75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Samostojno, individualno delo dijakov</w:t>
            </w:r>
          </w:p>
        </w:tc>
        <w:tc>
          <w:tcPr>
            <w:tcW w:w="2467" w:type="pct"/>
          </w:tcPr>
          <w:p w:rsidR="00A876BB" w:rsidRPr="006A73E4" w:rsidRDefault="00DA1871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dopolnjujeta pri razlagi</w:t>
            </w:r>
          </w:p>
        </w:tc>
      </w:tr>
      <w:tr w:rsidR="00A876BB" w:rsidTr="00855EF3">
        <w:trPr>
          <w:trHeight w:val="95"/>
        </w:trPr>
        <w:tc>
          <w:tcPr>
            <w:tcW w:w="188" w:type="pct"/>
            <w:vMerge/>
          </w:tcPr>
          <w:p w:rsidR="00A876BB" w:rsidRPr="0037775D" w:rsidRDefault="00A876BB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A876BB" w:rsidRDefault="00DA1871" w:rsidP="005F3D75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 posnetki</w:t>
            </w:r>
          </w:p>
          <w:p w:rsidR="00DA1871" w:rsidRPr="006A73E4" w:rsidRDefault="00DA1871" w:rsidP="005F3D75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Samostojno delo</w:t>
            </w:r>
          </w:p>
        </w:tc>
        <w:tc>
          <w:tcPr>
            <w:tcW w:w="2467" w:type="pct"/>
          </w:tcPr>
          <w:p w:rsidR="00A876BB" w:rsidRPr="006A73E4" w:rsidRDefault="00DA1871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  <w:tr w:rsidR="00741A7D" w:rsidTr="00305763">
        <w:trPr>
          <w:trHeight w:val="66"/>
        </w:trPr>
        <w:tc>
          <w:tcPr>
            <w:tcW w:w="188" w:type="pct"/>
            <w:vMerge w:val="restart"/>
          </w:tcPr>
          <w:p w:rsidR="00741A7D" w:rsidRPr="0037775D" w:rsidRDefault="00741A7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9F6055" w:rsidRDefault="00DA1871" w:rsidP="00262F9B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Poslušanje radijskega posnetka (vprašanja)</w:t>
            </w:r>
          </w:p>
          <w:p w:rsidR="00DA1871" w:rsidRPr="006A73E4" w:rsidRDefault="00DA1871" w:rsidP="00262F9B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Pogovor o posnetku</w:t>
            </w:r>
          </w:p>
        </w:tc>
        <w:tc>
          <w:tcPr>
            <w:tcW w:w="2467" w:type="pct"/>
          </w:tcPr>
          <w:p w:rsidR="007226A2" w:rsidRDefault="00DA187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pripravlja posnetek, drugi razlaga vprašanja</w:t>
            </w:r>
          </w:p>
          <w:p w:rsidR="00DA1871" w:rsidRPr="006A73E4" w:rsidRDefault="00DA187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Vsak predstavi svoje izkušnje</w:t>
            </w:r>
          </w:p>
        </w:tc>
      </w:tr>
      <w:tr w:rsidR="00A876BB" w:rsidTr="00305763">
        <w:trPr>
          <w:trHeight w:val="66"/>
        </w:trPr>
        <w:tc>
          <w:tcPr>
            <w:tcW w:w="188" w:type="pct"/>
            <w:vMerge/>
          </w:tcPr>
          <w:p w:rsidR="00A876BB" w:rsidRPr="0037775D" w:rsidRDefault="00A876BB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A876BB" w:rsidRDefault="00DA187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Aktivnost – je ali ni vljudno (delovni list)</w:t>
            </w:r>
          </w:p>
          <w:p w:rsidR="00DA1871" w:rsidRDefault="00DA187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Ogled slike (odgovor DA, NE)</w:t>
            </w:r>
          </w:p>
          <w:p w:rsidR="00DA1871" w:rsidRPr="006A73E4" w:rsidRDefault="00DA187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Razlaga (individualno delo)</w:t>
            </w:r>
          </w:p>
        </w:tc>
        <w:tc>
          <w:tcPr>
            <w:tcW w:w="2467" w:type="pct"/>
          </w:tcPr>
          <w:p w:rsidR="00A876BB" w:rsidRPr="006A73E4" w:rsidRDefault="00DA187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Vsak kontrolira eno skupino</w:t>
            </w:r>
          </w:p>
        </w:tc>
      </w:tr>
      <w:tr w:rsidR="00741A7D" w:rsidTr="00305763">
        <w:trPr>
          <w:trHeight w:val="66"/>
        </w:trPr>
        <w:tc>
          <w:tcPr>
            <w:tcW w:w="188" w:type="pct"/>
            <w:vMerge/>
          </w:tcPr>
          <w:p w:rsidR="00741A7D" w:rsidRPr="0037775D" w:rsidRDefault="00741A7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7A17" w:rsidRDefault="00DA187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v paru (delovni list in posnetek)</w:t>
            </w:r>
          </w:p>
          <w:p w:rsidR="00DA1871" w:rsidRPr="006A73E4" w:rsidRDefault="00DA187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Pogovor o filmčkih, verbalni/neverbalni komunikaciji</w:t>
            </w:r>
          </w:p>
        </w:tc>
        <w:tc>
          <w:tcPr>
            <w:tcW w:w="2467" w:type="pct"/>
          </w:tcPr>
          <w:p w:rsidR="00741A7D" w:rsidRPr="006A73E4" w:rsidRDefault="00DA187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  <w:tr w:rsidR="008E595F" w:rsidRPr="00155233" w:rsidTr="00944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</w:tcPr>
          <w:p w:rsidR="008E595F" w:rsidRDefault="008E595F" w:rsidP="009442E2">
            <w:pPr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lastRenderedPageBreak/>
              <w:t>Povzetek utemeljitev (dodane vrednosti):</w:t>
            </w:r>
          </w:p>
          <w:p w:rsidR="008E595F" w:rsidRPr="00155233" w:rsidRDefault="008E595F" w:rsidP="009442E2">
            <w:pPr>
              <w:rPr>
                <w:b/>
                <w:i/>
                <w:sz w:val="22"/>
                <w:szCs w:val="22"/>
              </w:rPr>
            </w:pPr>
          </w:p>
        </w:tc>
      </w:tr>
      <w:tr w:rsidR="008E595F" w:rsidRPr="00155233" w:rsidTr="00944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</w:tcPr>
          <w:p w:rsidR="008E595F" w:rsidRPr="00155233" w:rsidRDefault="008E595F" w:rsidP="007A3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Povzetek odgovorov</w:t>
            </w:r>
            <w:r w:rsidRPr="001552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udeležencev (ki so opazovali TP) pokaže</w:t>
            </w:r>
            <w:r w:rsidRPr="0015523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da večina udeležencev vidi dodano vrednost </w:t>
            </w:r>
            <w:r w:rsidR="00CC315B">
              <w:rPr>
                <w:sz w:val="22"/>
                <w:szCs w:val="22"/>
              </w:rPr>
              <w:t xml:space="preserve">TU </w:t>
            </w:r>
            <w:r w:rsidR="00140668">
              <w:rPr>
                <w:sz w:val="22"/>
                <w:szCs w:val="22"/>
              </w:rPr>
              <w:t>(oz. pri TP)</w:t>
            </w:r>
            <w:r w:rsidR="00A06F1F">
              <w:rPr>
                <w:sz w:val="22"/>
                <w:szCs w:val="22"/>
              </w:rPr>
              <w:t xml:space="preserve"> </w:t>
            </w:r>
            <w:r w:rsidR="00CC315B">
              <w:rPr>
                <w:sz w:val="22"/>
                <w:szCs w:val="22"/>
              </w:rPr>
              <w:t>v</w:t>
            </w:r>
            <w:r w:rsidR="007A3802">
              <w:rPr>
                <w:sz w:val="22"/>
                <w:szCs w:val="22"/>
              </w:rPr>
              <w:t xml:space="preserve"> </w:t>
            </w:r>
            <w:r w:rsidR="007A3802" w:rsidRPr="007A3802">
              <w:rPr>
                <w:b/>
                <w:sz w:val="22"/>
                <w:szCs w:val="22"/>
              </w:rPr>
              <w:t>medkulturni komponenti</w:t>
            </w:r>
            <w:r w:rsidR="007A3802">
              <w:rPr>
                <w:sz w:val="22"/>
                <w:szCs w:val="22"/>
              </w:rPr>
              <w:t xml:space="preserve"> in </w:t>
            </w:r>
            <w:r w:rsidR="007A3802" w:rsidRPr="007A3802">
              <w:rPr>
                <w:b/>
                <w:sz w:val="22"/>
                <w:szCs w:val="22"/>
              </w:rPr>
              <w:t>ozaveščanju dijakov</w:t>
            </w:r>
            <w:r w:rsidR="007A3802">
              <w:rPr>
                <w:sz w:val="22"/>
                <w:szCs w:val="22"/>
              </w:rPr>
              <w:t>. Udeleženci so opazili, da se s TU v razredu, dijaki bolj zavejo kulturne drug(</w:t>
            </w:r>
            <w:proofErr w:type="spellStart"/>
            <w:r w:rsidR="007A3802">
              <w:rPr>
                <w:sz w:val="22"/>
                <w:szCs w:val="22"/>
              </w:rPr>
              <w:t>ačn</w:t>
            </w:r>
            <w:proofErr w:type="spellEnd"/>
            <w:r w:rsidR="007A3802">
              <w:rPr>
                <w:sz w:val="22"/>
                <w:szCs w:val="22"/>
              </w:rPr>
              <w:t>)osti, prav tako pa se spoznajo z običaji, navadami in značilnosti drug(</w:t>
            </w:r>
            <w:proofErr w:type="spellStart"/>
            <w:r w:rsidR="007A3802">
              <w:rPr>
                <w:sz w:val="22"/>
                <w:szCs w:val="22"/>
              </w:rPr>
              <w:t>ačn</w:t>
            </w:r>
            <w:proofErr w:type="spellEnd"/>
            <w:r w:rsidR="007A3802">
              <w:rPr>
                <w:sz w:val="22"/>
                <w:szCs w:val="22"/>
              </w:rPr>
              <w:t xml:space="preserve">)e kulture. Nadalje so udeleženci dodano vrednost opazili v (aktivnemu) </w:t>
            </w:r>
            <w:r w:rsidR="007A3802" w:rsidRPr="007A3802">
              <w:rPr>
                <w:b/>
                <w:sz w:val="22"/>
                <w:szCs w:val="22"/>
              </w:rPr>
              <w:t>sodelovanju in vključevanju dijakov</w:t>
            </w:r>
            <w:r w:rsidR="007A3802">
              <w:rPr>
                <w:sz w:val="22"/>
                <w:szCs w:val="22"/>
              </w:rPr>
              <w:t xml:space="preserve"> med učno uro, kjer učitelja z veliko interakcije dosežeta, da so dijaki aktivni. Dodano vrednost so udeleženci opazili tudi pri </w:t>
            </w:r>
            <w:r w:rsidR="007A3802" w:rsidRPr="007A3802">
              <w:rPr>
                <w:b/>
                <w:sz w:val="22"/>
                <w:szCs w:val="22"/>
              </w:rPr>
              <w:t>delu v skupinah</w:t>
            </w:r>
            <w:r w:rsidR="007A3802">
              <w:rPr>
                <w:sz w:val="22"/>
                <w:szCs w:val="22"/>
              </w:rPr>
              <w:t xml:space="preserve">, kjer se vsak učitelj lahko (istočasno) posveti svoji skupini, poleg tega pa so udeleženci kot dodano vrednost označili tudi večjo </w:t>
            </w:r>
            <w:r w:rsidR="007A3802" w:rsidRPr="007A3802">
              <w:rPr>
                <w:b/>
                <w:sz w:val="22"/>
                <w:szCs w:val="22"/>
              </w:rPr>
              <w:t>usmerjenost dijakov</w:t>
            </w:r>
            <w:r w:rsidR="007A3802">
              <w:rPr>
                <w:sz w:val="22"/>
                <w:szCs w:val="22"/>
              </w:rPr>
              <w:t xml:space="preserve"> na izvedeno učno aktivnost ter </w:t>
            </w:r>
            <w:r w:rsidR="007A3802" w:rsidRPr="007A3802">
              <w:rPr>
                <w:b/>
                <w:sz w:val="22"/>
                <w:szCs w:val="22"/>
              </w:rPr>
              <w:t>dopolnjevanje</w:t>
            </w:r>
            <w:r w:rsidR="007A3802">
              <w:rPr>
                <w:sz w:val="22"/>
                <w:szCs w:val="22"/>
              </w:rPr>
              <w:t xml:space="preserve"> med učiteljema pri poučevanju (tako na vsebinski kot tehnični ravni).</w:t>
            </w:r>
            <w:r w:rsidR="008A7159">
              <w:rPr>
                <w:sz w:val="22"/>
                <w:szCs w:val="22"/>
              </w:rPr>
              <w:t xml:space="preserve">  </w:t>
            </w:r>
            <w:r w:rsidR="00CC315B">
              <w:rPr>
                <w:sz w:val="22"/>
                <w:szCs w:val="22"/>
              </w:rPr>
              <w:t xml:space="preserve"> </w:t>
            </w:r>
          </w:p>
        </w:tc>
      </w:tr>
    </w:tbl>
    <w:p w:rsidR="008E595F" w:rsidRDefault="008E595F" w:rsidP="00B851C8">
      <w:pPr>
        <w:rPr>
          <w:rFonts w:ascii="Arial Narrow" w:hAnsi="Arial Narrow"/>
          <w:b/>
          <w:sz w:val="22"/>
          <w:szCs w:val="22"/>
        </w:rPr>
      </w:pPr>
    </w:p>
    <w:p w:rsidR="00BE2705" w:rsidRPr="00BE2705" w:rsidRDefault="00BE2705" w:rsidP="00B851C8">
      <w:pPr>
        <w:rPr>
          <w:rFonts w:ascii="Arial Narrow" w:hAnsi="Arial Narrow"/>
          <w:b/>
          <w:sz w:val="22"/>
          <w:szCs w:val="22"/>
        </w:rPr>
      </w:pPr>
      <w:r w:rsidRPr="00BE2705">
        <w:rPr>
          <w:rFonts w:ascii="Arial Narrow" w:hAnsi="Arial Narrow"/>
          <w:b/>
          <w:sz w:val="22"/>
          <w:szCs w:val="22"/>
        </w:rPr>
        <w:t>2.2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098"/>
      </w:tblGrid>
      <w:tr w:rsidR="00BE2705" w:rsidTr="00BE2705">
        <w:tc>
          <w:tcPr>
            <w:tcW w:w="14098" w:type="dxa"/>
          </w:tcPr>
          <w:p w:rsidR="00BE2705" w:rsidRPr="006A73E4" w:rsidRDefault="00BE2705" w:rsidP="00B851C8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6A73E4">
              <w:rPr>
                <w:rFonts w:ascii="Arial Narrow" w:hAnsi="Arial Narrow"/>
                <w:b/>
                <w:sz w:val="20"/>
                <w:szCs w:val="22"/>
              </w:rPr>
              <w:t>Končne ugotovitve, komentarji vprašanja …</w:t>
            </w:r>
          </w:p>
        </w:tc>
      </w:tr>
      <w:tr w:rsidR="00BE2705" w:rsidTr="00BE2705">
        <w:tc>
          <w:tcPr>
            <w:tcW w:w="14098" w:type="dxa"/>
          </w:tcPr>
          <w:p w:rsidR="009947CF" w:rsidRDefault="007A3802" w:rsidP="009947CF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so bolj aktivni kot pri prvi uri – različne aktivnosti</w:t>
            </w:r>
          </w:p>
          <w:p w:rsidR="007A3802" w:rsidRPr="006A73E4" w:rsidRDefault="007A3802" w:rsidP="009947CF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Sodelujejo v pogovoru, utemeljujejo, komentirajo oba videa</w:t>
            </w:r>
          </w:p>
        </w:tc>
      </w:tr>
    </w:tbl>
    <w:p w:rsidR="001C05FE" w:rsidRDefault="001C05FE" w:rsidP="00B851C8">
      <w:pPr>
        <w:rPr>
          <w:sz w:val="22"/>
          <w:szCs w:val="22"/>
        </w:rPr>
      </w:pPr>
    </w:p>
    <w:p w:rsidR="009702BC" w:rsidRDefault="009702BC" w:rsidP="00B851C8">
      <w:pPr>
        <w:rPr>
          <w:sz w:val="22"/>
          <w:szCs w:val="22"/>
        </w:rPr>
      </w:pPr>
    </w:p>
    <w:p w:rsidR="00EF5636" w:rsidRPr="00EF5636" w:rsidRDefault="00BE2705" w:rsidP="003C4F14">
      <w:pPr>
        <w:pStyle w:val="Odstavekseznama"/>
        <w:numPr>
          <w:ilvl w:val="0"/>
          <w:numId w:val="16"/>
        </w:num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</w:t>
      </w:r>
      <w:r w:rsidR="00EF5636">
        <w:rPr>
          <w:rFonts w:ascii="Tahoma" w:hAnsi="Tahoma" w:cs="Tahoma"/>
          <w:b/>
          <w:sz w:val="22"/>
          <w:szCs w:val="22"/>
        </w:rPr>
        <w:t>kupne ugotovitve</w:t>
      </w:r>
      <w:r w:rsidR="00C9365F">
        <w:rPr>
          <w:rFonts w:ascii="Tahoma" w:hAnsi="Tahoma" w:cs="Tahoma"/>
          <w:b/>
          <w:sz w:val="22"/>
          <w:szCs w:val="22"/>
        </w:rPr>
        <w:t xml:space="preserve"> udeležencev</w:t>
      </w:r>
    </w:p>
    <w:p w:rsidR="00837835" w:rsidRPr="00155233" w:rsidRDefault="00837835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837835" w:rsidRPr="00155233" w:rsidTr="00EF56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7879" w:rsidRPr="00D5228E" w:rsidRDefault="00D03679" w:rsidP="0025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analiza opažanj udeležencev pokaže, da so </w:t>
            </w:r>
            <w:r w:rsidR="00D5017F">
              <w:rPr>
                <w:sz w:val="22"/>
                <w:szCs w:val="22"/>
              </w:rPr>
              <w:t>le-ti</w:t>
            </w:r>
            <w:r>
              <w:rPr>
                <w:sz w:val="22"/>
                <w:szCs w:val="22"/>
              </w:rPr>
              <w:t xml:space="preserve"> videli prednost timskega poučevanja</w:t>
            </w:r>
            <w:r w:rsidR="00085B09">
              <w:rPr>
                <w:sz w:val="22"/>
                <w:szCs w:val="22"/>
              </w:rPr>
              <w:t xml:space="preserve"> (in prisotnosti TU</w:t>
            </w:r>
            <w:r w:rsidR="00610BC9">
              <w:rPr>
                <w:sz w:val="22"/>
                <w:szCs w:val="22"/>
              </w:rPr>
              <w:t>) predvsem v</w:t>
            </w:r>
            <w:r w:rsidR="009947CF">
              <w:rPr>
                <w:sz w:val="22"/>
                <w:szCs w:val="22"/>
              </w:rPr>
              <w:t xml:space="preserve"> </w:t>
            </w:r>
            <w:r w:rsidR="007A3802">
              <w:rPr>
                <w:sz w:val="22"/>
                <w:szCs w:val="22"/>
              </w:rPr>
              <w:t>medkulturne</w:t>
            </w:r>
            <w:r w:rsidR="007A3802">
              <w:rPr>
                <w:sz w:val="22"/>
                <w:szCs w:val="22"/>
              </w:rPr>
              <w:t>m</w:t>
            </w:r>
            <w:r w:rsidR="007A3802">
              <w:rPr>
                <w:sz w:val="22"/>
                <w:szCs w:val="22"/>
              </w:rPr>
              <w:t xml:space="preserve"> ozaveščanju dijakov, kjer dva TU pripomoreta k bolj pristni predstavitvi drug(</w:t>
            </w:r>
            <w:proofErr w:type="spellStart"/>
            <w:r w:rsidR="007A3802">
              <w:rPr>
                <w:sz w:val="22"/>
                <w:szCs w:val="22"/>
              </w:rPr>
              <w:t>ačn</w:t>
            </w:r>
            <w:proofErr w:type="spellEnd"/>
            <w:r w:rsidR="007A3802">
              <w:rPr>
                <w:sz w:val="22"/>
                <w:szCs w:val="22"/>
              </w:rPr>
              <w:t>)ih kultur</w:t>
            </w:r>
            <w:r w:rsidR="00257879">
              <w:rPr>
                <w:sz w:val="22"/>
                <w:szCs w:val="22"/>
              </w:rPr>
              <w:t xml:space="preserve">. Naslednjo dodano vrednost so udeleženci opazili v (večji) aktivnosti dijakov med učno uro, ker lahko dva TU v razredu s konstantno interakcijo z dijaki le-te spodbudita in motivirata k sodelovanju. Udeleženci so prav tako dodano vrednost opazili pri delu v skupinah, saj sta dva TU nudila (večjo) pomoč in podporo dijakom, kot bi jo lahko en sam učitelj v razredu. Udeleženci opazovanja so kot dodano vrednost označili tudi dopolnjevanje med učiteljema, ki sta si bila v podporo tako v vsebinskem kot v tehničnem smislu.   </w:t>
            </w:r>
          </w:p>
          <w:p w:rsidR="00D5228E" w:rsidRPr="00D5228E" w:rsidRDefault="00D5228E" w:rsidP="005845E4">
            <w:pPr>
              <w:rPr>
                <w:sz w:val="22"/>
                <w:szCs w:val="22"/>
              </w:rPr>
            </w:pPr>
          </w:p>
        </w:tc>
      </w:tr>
    </w:tbl>
    <w:p w:rsidR="00564148" w:rsidRPr="00155233" w:rsidRDefault="00564148" w:rsidP="00B851C8">
      <w:pPr>
        <w:rPr>
          <w:sz w:val="22"/>
          <w:szCs w:val="22"/>
        </w:rPr>
      </w:pPr>
      <w:r>
        <w:rPr>
          <w:sz w:val="22"/>
          <w:szCs w:val="22"/>
        </w:rPr>
        <w:t>Končna ugotovitev je, da udeleženci vidijo dodano vrednost (na različnih področjih) pri poučevanju z dvema učiteljema v razredu ter imajo pozitiven odnos/mnenje do timskega poučevanja.</w:t>
      </w:r>
    </w:p>
    <w:p w:rsidR="006A73E4" w:rsidRDefault="006A73E4" w:rsidP="006A74F8">
      <w:pPr>
        <w:rPr>
          <w:sz w:val="22"/>
          <w:szCs w:val="22"/>
        </w:rPr>
      </w:pPr>
    </w:p>
    <w:p w:rsidR="006A73E4" w:rsidRPr="00155233" w:rsidRDefault="006A73E4" w:rsidP="006A74F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6A74F8" w:rsidRPr="00155233" w:rsidTr="00FB41C9">
        <w:tc>
          <w:tcPr>
            <w:tcW w:w="2500" w:type="pct"/>
          </w:tcPr>
          <w:p w:rsidR="005845E4" w:rsidRDefault="005845E4" w:rsidP="006A74F8">
            <w:pPr>
              <w:rPr>
                <w:sz w:val="22"/>
                <w:szCs w:val="22"/>
              </w:rPr>
            </w:pPr>
          </w:p>
          <w:p w:rsidR="006A74F8" w:rsidRPr="00155233" w:rsidRDefault="00596128" w:rsidP="006A7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Pripravil</w:t>
            </w:r>
            <w:r w:rsidR="00155233" w:rsidRPr="00155233">
              <w:rPr>
                <w:sz w:val="22"/>
                <w:szCs w:val="22"/>
              </w:rPr>
              <w:t xml:space="preserve"> </w:t>
            </w:r>
            <w:r w:rsidR="00512AD4" w:rsidRPr="00155233">
              <w:rPr>
                <w:sz w:val="22"/>
                <w:szCs w:val="22"/>
              </w:rPr>
              <w:t>Adi Muminović</w:t>
            </w:r>
            <w:r w:rsidR="00155233">
              <w:rPr>
                <w:sz w:val="22"/>
                <w:szCs w:val="22"/>
              </w:rPr>
              <w:t>,</w:t>
            </w:r>
          </w:p>
        </w:tc>
        <w:tc>
          <w:tcPr>
            <w:tcW w:w="2500" w:type="pct"/>
          </w:tcPr>
          <w:p w:rsidR="006A74F8" w:rsidRPr="00155233" w:rsidRDefault="006A74F8" w:rsidP="006A74F8">
            <w:pPr>
              <w:jc w:val="right"/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Katja Pavlič Škerjanc,</w:t>
            </w:r>
          </w:p>
        </w:tc>
      </w:tr>
      <w:tr w:rsidR="006A74F8" w:rsidRPr="00155233" w:rsidTr="00FB41C9">
        <w:tc>
          <w:tcPr>
            <w:tcW w:w="2500" w:type="pct"/>
          </w:tcPr>
          <w:p w:rsidR="006A74F8" w:rsidRPr="00155233" w:rsidRDefault="00155233" w:rsidP="00512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12AD4" w:rsidRPr="00155233">
              <w:rPr>
                <w:sz w:val="22"/>
                <w:szCs w:val="22"/>
              </w:rPr>
              <w:t>trokovni sodelavec projekta</w:t>
            </w:r>
          </w:p>
        </w:tc>
        <w:tc>
          <w:tcPr>
            <w:tcW w:w="2500" w:type="pct"/>
          </w:tcPr>
          <w:p w:rsidR="006A74F8" w:rsidRPr="00155233" w:rsidRDefault="00155233" w:rsidP="006A74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74F8" w:rsidRPr="00155233">
              <w:rPr>
                <w:sz w:val="22"/>
                <w:szCs w:val="22"/>
              </w:rPr>
              <w:t>odja projekta</w:t>
            </w:r>
          </w:p>
        </w:tc>
      </w:tr>
    </w:tbl>
    <w:p w:rsidR="0013236C" w:rsidRPr="00155233" w:rsidRDefault="0013236C" w:rsidP="005845E4">
      <w:pPr>
        <w:tabs>
          <w:tab w:val="left" w:pos="471"/>
          <w:tab w:val="left" w:pos="2411"/>
        </w:tabs>
        <w:rPr>
          <w:sz w:val="22"/>
          <w:szCs w:val="22"/>
        </w:rPr>
      </w:pPr>
    </w:p>
    <w:sectPr w:rsidR="0013236C" w:rsidRPr="00155233" w:rsidSect="003B5DAD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04" w:rsidRDefault="00320704" w:rsidP="00B851C8">
      <w:r>
        <w:separator/>
      </w:r>
    </w:p>
  </w:endnote>
  <w:endnote w:type="continuationSeparator" w:id="0">
    <w:p w:rsidR="00320704" w:rsidRDefault="00320704" w:rsidP="00B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2E2" w:rsidRDefault="009442E2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1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42E2" w:rsidRDefault="00944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90137"/>
      <w:docPartObj>
        <w:docPartGallery w:val="Page Numbers (Bottom of Page)"/>
        <w:docPartUnique/>
      </w:docPartObj>
    </w:sdtPr>
    <w:sdtEndPr/>
    <w:sdtContent>
      <w:p w:rsidR="009442E2" w:rsidRDefault="009442E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883">
          <w:rPr>
            <w:noProof/>
          </w:rPr>
          <w:t>1</w:t>
        </w:r>
        <w:r>
          <w:fldChar w:fldCharType="end"/>
        </w:r>
      </w:p>
    </w:sdtContent>
  </w:sdt>
  <w:p w:rsidR="009442E2" w:rsidRDefault="009442E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04" w:rsidRDefault="00320704" w:rsidP="00B851C8">
      <w:r>
        <w:separator/>
      </w:r>
    </w:p>
  </w:footnote>
  <w:footnote w:type="continuationSeparator" w:id="0">
    <w:p w:rsidR="00320704" w:rsidRDefault="00320704" w:rsidP="00B8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E2" w:rsidRDefault="009442E2" w:rsidP="00B851C8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F1398E" wp14:editId="0839E244">
          <wp:simplePos x="0" y="0"/>
          <wp:positionH relativeFrom="column">
            <wp:posOffset>6474460</wp:posOffset>
          </wp:positionH>
          <wp:positionV relativeFrom="paragraph">
            <wp:posOffset>24130</wp:posOffset>
          </wp:positionV>
          <wp:extent cx="2494915" cy="719455"/>
          <wp:effectExtent l="0" t="0" r="635" b="4445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FAA10EA" wp14:editId="2A579C0E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                                                             </w:t>
    </w:r>
    <w:r>
      <w:rPr>
        <w:noProof/>
        <w:sz w:val="22"/>
        <w:szCs w:val="22"/>
      </w:rPr>
      <w:drawing>
        <wp:inline distT="0" distB="0" distL="0" distR="0" wp14:anchorId="1533A6A7" wp14:editId="798D2404">
          <wp:extent cx="2247609" cy="321087"/>
          <wp:effectExtent l="0" t="0" r="635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6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442E2" w:rsidRDefault="009442E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EBD"/>
    <w:multiLevelType w:val="hybridMultilevel"/>
    <w:tmpl w:val="E20A3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763A"/>
    <w:multiLevelType w:val="hybridMultilevel"/>
    <w:tmpl w:val="47C24246"/>
    <w:lvl w:ilvl="0" w:tplc="3DBA891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07B4A"/>
    <w:multiLevelType w:val="hybridMultilevel"/>
    <w:tmpl w:val="183C0DD2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A187F"/>
    <w:multiLevelType w:val="hybridMultilevel"/>
    <w:tmpl w:val="07E057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52126"/>
    <w:multiLevelType w:val="hybridMultilevel"/>
    <w:tmpl w:val="93B6261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35A73"/>
    <w:multiLevelType w:val="hybridMultilevel"/>
    <w:tmpl w:val="96A84B1E"/>
    <w:lvl w:ilvl="0" w:tplc="A41AE74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66CF8"/>
    <w:multiLevelType w:val="hybridMultilevel"/>
    <w:tmpl w:val="7CE25EC4"/>
    <w:lvl w:ilvl="0" w:tplc="06929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45341"/>
    <w:multiLevelType w:val="hybridMultilevel"/>
    <w:tmpl w:val="8BB88C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83FA7"/>
    <w:multiLevelType w:val="hybridMultilevel"/>
    <w:tmpl w:val="3D9AA63E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9F5C43"/>
    <w:multiLevelType w:val="hybridMultilevel"/>
    <w:tmpl w:val="65700C30"/>
    <w:lvl w:ilvl="0" w:tplc="CFA6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9630D"/>
    <w:multiLevelType w:val="hybridMultilevel"/>
    <w:tmpl w:val="8F4A88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D105A7"/>
    <w:multiLevelType w:val="hybridMultilevel"/>
    <w:tmpl w:val="4C0E08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C4592F"/>
    <w:multiLevelType w:val="hybridMultilevel"/>
    <w:tmpl w:val="5EE600F2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04384"/>
    <w:multiLevelType w:val="hybridMultilevel"/>
    <w:tmpl w:val="F0580F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12373C"/>
    <w:multiLevelType w:val="hybridMultilevel"/>
    <w:tmpl w:val="5284F6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781BD7"/>
    <w:multiLevelType w:val="hybridMultilevel"/>
    <w:tmpl w:val="D0AA93D8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67C01"/>
    <w:multiLevelType w:val="hybridMultilevel"/>
    <w:tmpl w:val="23D4F4A8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07316F"/>
    <w:multiLevelType w:val="hybridMultilevel"/>
    <w:tmpl w:val="7F1243B4"/>
    <w:lvl w:ilvl="0" w:tplc="376A34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1C58C5"/>
    <w:multiLevelType w:val="hybridMultilevel"/>
    <w:tmpl w:val="112C1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AB5DB6"/>
    <w:multiLevelType w:val="hybridMultilevel"/>
    <w:tmpl w:val="10782D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8867FE"/>
    <w:multiLevelType w:val="hybridMultilevel"/>
    <w:tmpl w:val="021893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18"/>
  </w:num>
  <w:num w:numId="12">
    <w:abstractNumId w:val="9"/>
  </w:num>
  <w:num w:numId="13">
    <w:abstractNumId w:val="12"/>
  </w:num>
  <w:num w:numId="14">
    <w:abstractNumId w:val="15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2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0"/>
    <w:rsid w:val="0000249F"/>
    <w:rsid w:val="00003026"/>
    <w:rsid w:val="0001698E"/>
    <w:rsid w:val="00023540"/>
    <w:rsid w:val="00024B30"/>
    <w:rsid w:val="000279C2"/>
    <w:rsid w:val="00031D15"/>
    <w:rsid w:val="00041388"/>
    <w:rsid w:val="00042991"/>
    <w:rsid w:val="00044F34"/>
    <w:rsid w:val="00053F0E"/>
    <w:rsid w:val="00054AD7"/>
    <w:rsid w:val="00054D78"/>
    <w:rsid w:val="000575DF"/>
    <w:rsid w:val="000633FF"/>
    <w:rsid w:val="000858C9"/>
    <w:rsid w:val="00085B09"/>
    <w:rsid w:val="00090CC5"/>
    <w:rsid w:val="00092704"/>
    <w:rsid w:val="00092880"/>
    <w:rsid w:val="000957A8"/>
    <w:rsid w:val="000B4161"/>
    <w:rsid w:val="000B5CD2"/>
    <w:rsid w:val="000C259B"/>
    <w:rsid w:val="000D59F2"/>
    <w:rsid w:val="000D6C13"/>
    <w:rsid w:val="000E02ED"/>
    <w:rsid w:val="000F0E3C"/>
    <w:rsid w:val="000F5D3E"/>
    <w:rsid w:val="001009B8"/>
    <w:rsid w:val="00101AB9"/>
    <w:rsid w:val="00103091"/>
    <w:rsid w:val="00103BD2"/>
    <w:rsid w:val="00103D72"/>
    <w:rsid w:val="00111394"/>
    <w:rsid w:val="00122E6C"/>
    <w:rsid w:val="00130B06"/>
    <w:rsid w:val="00130D71"/>
    <w:rsid w:val="0013236C"/>
    <w:rsid w:val="001337E0"/>
    <w:rsid w:val="00133C78"/>
    <w:rsid w:val="00140668"/>
    <w:rsid w:val="00155233"/>
    <w:rsid w:val="00160E02"/>
    <w:rsid w:val="001774F1"/>
    <w:rsid w:val="001857DE"/>
    <w:rsid w:val="00187A17"/>
    <w:rsid w:val="001A7772"/>
    <w:rsid w:val="001B35BB"/>
    <w:rsid w:val="001C05FE"/>
    <w:rsid w:val="001C7FBC"/>
    <w:rsid w:val="001D36FE"/>
    <w:rsid w:val="001E0FCB"/>
    <w:rsid w:val="001E3B5C"/>
    <w:rsid w:val="001E4793"/>
    <w:rsid w:val="001E7076"/>
    <w:rsid w:val="001F49B5"/>
    <w:rsid w:val="001F7503"/>
    <w:rsid w:val="00206B82"/>
    <w:rsid w:val="00212FCE"/>
    <w:rsid w:val="00221732"/>
    <w:rsid w:val="00233E98"/>
    <w:rsid w:val="002345A9"/>
    <w:rsid w:val="00244B5B"/>
    <w:rsid w:val="0024524B"/>
    <w:rsid w:val="00252487"/>
    <w:rsid w:val="00252847"/>
    <w:rsid w:val="0025430B"/>
    <w:rsid w:val="002554B5"/>
    <w:rsid w:val="00257879"/>
    <w:rsid w:val="002608C0"/>
    <w:rsid w:val="00262F9B"/>
    <w:rsid w:val="002719B5"/>
    <w:rsid w:val="00272810"/>
    <w:rsid w:val="0028581F"/>
    <w:rsid w:val="00286E09"/>
    <w:rsid w:val="002A04C6"/>
    <w:rsid w:val="002A375A"/>
    <w:rsid w:val="002C51E4"/>
    <w:rsid w:val="002C67F3"/>
    <w:rsid w:val="002D7B80"/>
    <w:rsid w:val="002E5FD8"/>
    <w:rsid w:val="002F0EA3"/>
    <w:rsid w:val="002F1D8A"/>
    <w:rsid w:val="002F458D"/>
    <w:rsid w:val="00305763"/>
    <w:rsid w:val="00307626"/>
    <w:rsid w:val="0031187B"/>
    <w:rsid w:val="00316741"/>
    <w:rsid w:val="00320704"/>
    <w:rsid w:val="00322B29"/>
    <w:rsid w:val="0032613F"/>
    <w:rsid w:val="003330FB"/>
    <w:rsid w:val="003350A0"/>
    <w:rsid w:val="00335B5F"/>
    <w:rsid w:val="003419D3"/>
    <w:rsid w:val="003424A1"/>
    <w:rsid w:val="00352862"/>
    <w:rsid w:val="0035326D"/>
    <w:rsid w:val="003668A1"/>
    <w:rsid w:val="00367330"/>
    <w:rsid w:val="0037775D"/>
    <w:rsid w:val="00380407"/>
    <w:rsid w:val="00385AE9"/>
    <w:rsid w:val="00395890"/>
    <w:rsid w:val="00396503"/>
    <w:rsid w:val="003A1FFD"/>
    <w:rsid w:val="003A2FAF"/>
    <w:rsid w:val="003A3E42"/>
    <w:rsid w:val="003B1497"/>
    <w:rsid w:val="003B3943"/>
    <w:rsid w:val="003B5DAD"/>
    <w:rsid w:val="003B7D6D"/>
    <w:rsid w:val="003C2920"/>
    <w:rsid w:val="003C4F14"/>
    <w:rsid w:val="003E2E13"/>
    <w:rsid w:val="003E7CC7"/>
    <w:rsid w:val="00400959"/>
    <w:rsid w:val="00411419"/>
    <w:rsid w:val="00416573"/>
    <w:rsid w:val="0041775A"/>
    <w:rsid w:val="0045759D"/>
    <w:rsid w:val="004672FF"/>
    <w:rsid w:val="004716BC"/>
    <w:rsid w:val="004734C8"/>
    <w:rsid w:val="004A2491"/>
    <w:rsid w:val="004A5CA6"/>
    <w:rsid w:val="004B31A1"/>
    <w:rsid w:val="004D4CAD"/>
    <w:rsid w:val="004E09C8"/>
    <w:rsid w:val="004E242E"/>
    <w:rsid w:val="004E6DE4"/>
    <w:rsid w:val="004F01E0"/>
    <w:rsid w:val="00500A87"/>
    <w:rsid w:val="00504F88"/>
    <w:rsid w:val="00512AD4"/>
    <w:rsid w:val="00516B0C"/>
    <w:rsid w:val="00520459"/>
    <w:rsid w:val="00523600"/>
    <w:rsid w:val="00543A5D"/>
    <w:rsid w:val="0055463A"/>
    <w:rsid w:val="00560A38"/>
    <w:rsid w:val="00561440"/>
    <w:rsid w:val="00564148"/>
    <w:rsid w:val="00566534"/>
    <w:rsid w:val="005845E4"/>
    <w:rsid w:val="00591883"/>
    <w:rsid w:val="00591EB2"/>
    <w:rsid w:val="00596128"/>
    <w:rsid w:val="005A6160"/>
    <w:rsid w:val="005B1905"/>
    <w:rsid w:val="005B2835"/>
    <w:rsid w:val="005C511E"/>
    <w:rsid w:val="005C5253"/>
    <w:rsid w:val="005E072D"/>
    <w:rsid w:val="005E3228"/>
    <w:rsid w:val="005F3D75"/>
    <w:rsid w:val="005F74D9"/>
    <w:rsid w:val="00602138"/>
    <w:rsid w:val="00610BC9"/>
    <w:rsid w:val="00645BB8"/>
    <w:rsid w:val="00645D48"/>
    <w:rsid w:val="006601A3"/>
    <w:rsid w:val="006613F7"/>
    <w:rsid w:val="00676B4B"/>
    <w:rsid w:val="0068014D"/>
    <w:rsid w:val="006814D2"/>
    <w:rsid w:val="006935E0"/>
    <w:rsid w:val="006A1146"/>
    <w:rsid w:val="006A73E4"/>
    <w:rsid w:val="006A74F8"/>
    <w:rsid w:val="006B1EC3"/>
    <w:rsid w:val="006B546D"/>
    <w:rsid w:val="006B5C60"/>
    <w:rsid w:val="006C177C"/>
    <w:rsid w:val="006D2316"/>
    <w:rsid w:val="006E5E1C"/>
    <w:rsid w:val="0070380B"/>
    <w:rsid w:val="007226A2"/>
    <w:rsid w:val="00727D2E"/>
    <w:rsid w:val="00736EC6"/>
    <w:rsid w:val="00741A7D"/>
    <w:rsid w:val="007515CC"/>
    <w:rsid w:val="00752D51"/>
    <w:rsid w:val="00753299"/>
    <w:rsid w:val="00771EC3"/>
    <w:rsid w:val="00773AAD"/>
    <w:rsid w:val="007743AC"/>
    <w:rsid w:val="007832AE"/>
    <w:rsid w:val="00786351"/>
    <w:rsid w:val="007A1A36"/>
    <w:rsid w:val="007A3802"/>
    <w:rsid w:val="007A5465"/>
    <w:rsid w:val="007B226A"/>
    <w:rsid w:val="007B2CEF"/>
    <w:rsid w:val="007D01EC"/>
    <w:rsid w:val="007D06D3"/>
    <w:rsid w:val="007D6D4E"/>
    <w:rsid w:val="007E1829"/>
    <w:rsid w:val="007E6EBA"/>
    <w:rsid w:val="007F28CB"/>
    <w:rsid w:val="007F32E3"/>
    <w:rsid w:val="007F6241"/>
    <w:rsid w:val="00807A11"/>
    <w:rsid w:val="00812BBF"/>
    <w:rsid w:val="00814850"/>
    <w:rsid w:val="0082790D"/>
    <w:rsid w:val="00833CC3"/>
    <w:rsid w:val="00835292"/>
    <w:rsid w:val="00837835"/>
    <w:rsid w:val="00855EF3"/>
    <w:rsid w:val="008767B3"/>
    <w:rsid w:val="00880D1D"/>
    <w:rsid w:val="00895412"/>
    <w:rsid w:val="008A7159"/>
    <w:rsid w:val="008C0EF5"/>
    <w:rsid w:val="008C39EE"/>
    <w:rsid w:val="008C654D"/>
    <w:rsid w:val="008C761C"/>
    <w:rsid w:val="008D72F5"/>
    <w:rsid w:val="008E27FB"/>
    <w:rsid w:val="008E595F"/>
    <w:rsid w:val="009006CD"/>
    <w:rsid w:val="00900EFB"/>
    <w:rsid w:val="00936EB9"/>
    <w:rsid w:val="009442E2"/>
    <w:rsid w:val="00945A4A"/>
    <w:rsid w:val="00951EB1"/>
    <w:rsid w:val="00951F06"/>
    <w:rsid w:val="009568C6"/>
    <w:rsid w:val="0096430B"/>
    <w:rsid w:val="00964ABA"/>
    <w:rsid w:val="009702BC"/>
    <w:rsid w:val="00975A6B"/>
    <w:rsid w:val="00982193"/>
    <w:rsid w:val="009947CF"/>
    <w:rsid w:val="00997037"/>
    <w:rsid w:val="009A48A6"/>
    <w:rsid w:val="009B431E"/>
    <w:rsid w:val="009D131E"/>
    <w:rsid w:val="009D229F"/>
    <w:rsid w:val="009D2895"/>
    <w:rsid w:val="009D59FC"/>
    <w:rsid w:val="009E43FB"/>
    <w:rsid w:val="009F5646"/>
    <w:rsid w:val="009F6055"/>
    <w:rsid w:val="009F7599"/>
    <w:rsid w:val="00A02FF5"/>
    <w:rsid w:val="00A06F1F"/>
    <w:rsid w:val="00A16324"/>
    <w:rsid w:val="00A2262E"/>
    <w:rsid w:val="00A33C01"/>
    <w:rsid w:val="00A41400"/>
    <w:rsid w:val="00A43E99"/>
    <w:rsid w:val="00A44082"/>
    <w:rsid w:val="00A61881"/>
    <w:rsid w:val="00A64936"/>
    <w:rsid w:val="00A64BC9"/>
    <w:rsid w:val="00A734D4"/>
    <w:rsid w:val="00A826AA"/>
    <w:rsid w:val="00A876BB"/>
    <w:rsid w:val="00A95BAB"/>
    <w:rsid w:val="00A97B4E"/>
    <w:rsid w:val="00AA7F77"/>
    <w:rsid w:val="00AB1DB4"/>
    <w:rsid w:val="00AB6D81"/>
    <w:rsid w:val="00AC15B6"/>
    <w:rsid w:val="00AF2FA9"/>
    <w:rsid w:val="00AF7AEE"/>
    <w:rsid w:val="00B01B1A"/>
    <w:rsid w:val="00B2487F"/>
    <w:rsid w:val="00B307EB"/>
    <w:rsid w:val="00B540B7"/>
    <w:rsid w:val="00B71CD7"/>
    <w:rsid w:val="00B73A19"/>
    <w:rsid w:val="00B77FAF"/>
    <w:rsid w:val="00B851C8"/>
    <w:rsid w:val="00B852EF"/>
    <w:rsid w:val="00B86BE7"/>
    <w:rsid w:val="00B94A06"/>
    <w:rsid w:val="00BA05B8"/>
    <w:rsid w:val="00BA20DA"/>
    <w:rsid w:val="00BC058E"/>
    <w:rsid w:val="00BC0851"/>
    <w:rsid w:val="00BC5666"/>
    <w:rsid w:val="00BD1C19"/>
    <w:rsid w:val="00BD43BA"/>
    <w:rsid w:val="00BD5AAD"/>
    <w:rsid w:val="00BD6D74"/>
    <w:rsid w:val="00BE0D15"/>
    <w:rsid w:val="00BE2705"/>
    <w:rsid w:val="00BE5D56"/>
    <w:rsid w:val="00BF5F68"/>
    <w:rsid w:val="00C035F8"/>
    <w:rsid w:val="00C06DB0"/>
    <w:rsid w:val="00C2168C"/>
    <w:rsid w:val="00C22536"/>
    <w:rsid w:val="00C37937"/>
    <w:rsid w:val="00C401D1"/>
    <w:rsid w:val="00C46677"/>
    <w:rsid w:val="00C515DF"/>
    <w:rsid w:val="00C542A0"/>
    <w:rsid w:val="00C602F7"/>
    <w:rsid w:val="00C64854"/>
    <w:rsid w:val="00C81206"/>
    <w:rsid w:val="00C868C3"/>
    <w:rsid w:val="00C9297F"/>
    <w:rsid w:val="00C9365F"/>
    <w:rsid w:val="00CA48DB"/>
    <w:rsid w:val="00CA66B6"/>
    <w:rsid w:val="00CB0DF6"/>
    <w:rsid w:val="00CB7031"/>
    <w:rsid w:val="00CC315B"/>
    <w:rsid w:val="00CC3ECE"/>
    <w:rsid w:val="00CE1A7A"/>
    <w:rsid w:val="00CF1F84"/>
    <w:rsid w:val="00CF3CCD"/>
    <w:rsid w:val="00CF6D18"/>
    <w:rsid w:val="00D019B2"/>
    <w:rsid w:val="00D03457"/>
    <w:rsid w:val="00D03679"/>
    <w:rsid w:val="00D11149"/>
    <w:rsid w:val="00D20825"/>
    <w:rsid w:val="00D20D88"/>
    <w:rsid w:val="00D21811"/>
    <w:rsid w:val="00D25889"/>
    <w:rsid w:val="00D32BE1"/>
    <w:rsid w:val="00D32CD1"/>
    <w:rsid w:val="00D449B8"/>
    <w:rsid w:val="00D5017F"/>
    <w:rsid w:val="00D50600"/>
    <w:rsid w:val="00D5228E"/>
    <w:rsid w:val="00D5363A"/>
    <w:rsid w:val="00D67812"/>
    <w:rsid w:val="00D7011E"/>
    <w:rsid w:val="00D73D67"/>
    <w:rsid w:val="00D73F4B"/>
    <w:rsid w:val="00D86E04"/>
    <w:rsid w:val="00D90974"/>
    <w:rsid w:val="00DA1871"/>
    <w:rsid w:val="00DC6863"/>
    <w:rsid w:val="00DC6D0E"/>
    <w:rsid w:val="00DD0863"/>
    <w:rsid w:val="00DD1F5A"/>
    <w:rsid w:val="00DE02BB"/>
    <w:rsid w:val="00DE41DE"/>
    <w:rsid w:val="00DF7C3D"/>
    <w:rsid w:val="00E06283"/>
    <w:rsid w:val="00E33979"/>
    <w:rsid w:val="00E34B61"/>
    <w:rsid w:val="00E50288"/>
    <w:rsid w:val="00E64416"/>
    <w:rsid w:val="00E659A0"/>
    <w:rsid w:val="00E65D53"/>
    <w:rsid w:val="00E73BB8"/>
    <w:rsid w:val="00E741EF"/>
    <w:rsid w:val="00E76E73"/>
    <w:rsid w:val="00E87724"/>
    <w:rsid w:val="00E915B1"/>
    <w:rsid w:val="00E932DD"/>
    <w:rsid w:val="00E95F70"/>
    <w:rsid w:val="00EA7CC5"/>
    <w:rsid w:val="00EB4123"/>
    <w:rsid w:val="00EB7517"/>
    <w:rsid w:val="00EE62E8"/>
    <w:rsid w:val="00EF008C"/>
    <w:rsid w:val="00EF5636"/>
    <w:rsid w:val="00F0001C"/>
    <w:rsid w:val="00F153CB"/>
    <w:rsid w:val="00F15E3B"/>
    <w:rsid w:val="00F3079E"/>
    <w:rsid w:val="00F37818"/>
    <w:rsid w:val="00F56255"/>
    <w:rsid w:val="00F70C74"/>
    <w:rsid w:val="00F90026"/>
    <w:rsid w:val="00F96A44"/>
    <w:rsid w:val="00FA7B14"/>
    <w:rsid w:val="00FB2B6C"/>
    <w:rsid w:val="00FB41C9"/>
    <w:rsid w:val="00FB47F8"/>
    <w:rsid w:val="00FB7F30"/>
    <w:rsid w:val="00FC358E"/>
    <w:rsid w:val="00FD1918"/>
    <w:rsid w:val="00FD5EAE"/>
    <w:rsid w:val="00FD6BD6"/>
    <w:rsid w:val="00FE0B40"/>
    <w:rsid w:val="00FE1D7A"/>
    <w:rsid w:val="00FE3DB0"/>
    <w:rsid w:val="00FE691F"/>
    <w:rsid w:val="00FE6EFD"/>
    <w:rsid w:val="00FF02F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Adi Muminovič</cp:lastModifiedBy>
  <cp:revision>7</cp:revision>
  <dcterms:created xsi:type="dcterms:W3CDTF">2013-05-31T13:50:00Z</dcterms:created>
  <dcterms:modified xsi:type="dcterms:W3CDTF">2013-06-03T12:48:00Z</dcterms:modified>
</cp:coreProperties>
</file>