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CC528A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</w:t>
            </w:r>
            <w:r w:rsidR="0029392D">
              <w:rPr>
                <w:b/>
                <w:sz w:val="22"/>
                <w:szCs w:val="22"/>
              </w:rPr>
              <w:t>5.1. 2011</w:t>
            </w:r>
            <w:r w:rsidRPr="00D25C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CC528A" w:rsidRDefault="004F719F" w:rsidP="004F719F">
      <w:pPr>
        <w:rPr>
          <w:sz w:val="16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CC528A">
        <w:trPr>
          <w:tblCellSpacing w:w="20" w:type="dxa"/>
        </w:trPr>
        <w:tc>
          <w:tcPr>
            <w:tcW w:w="1269" w:type="pct"/>
          </w:tcPr>
          <w:p w:rsidR="00D25C45" w:rsidRPr="00CC528A" w:rsidRDefault="00D25C45" w:rsidP="00CC528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528A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CF61E7" w:rsidRPr="00CC528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CC528A" w:rsidP="00CC5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Antona Aškerca</w:t>
            </w:r>
          </w:p>
        </w:tc>
      </w:tr>
      <w:tr w:rsidR="00D25C45" w:rsidTr="00CC528A">
        <w:trPr>
          <w:tblCellSpacing w:w="20" w:type="dxa"/>
        </w:trPr>
        <w:tc>
          <w:tcPr>
            <w:tcW w:w="1269" w:type="pct"/>
          </w:tcPr>
          <w:p w:rsidR="00D25C45" w:rsidRPr="00CC528A" w:rsidRDefault="00D25C45" w:rsidP="00CC528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528A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29392D" w:rsidRPr="00CC528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CC528A" w:rsidP="00CC5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CC528A">
        <w:trPr>
          <w:tblCellSpacing w:w="20" w:type="dxa"/>
        </w:trPr>
        <w:tc>
          <w:tcPr>
            <w:tcW w:w="1269" w:type="pct"/>
          </w:tcPr>
          <w:p w:rsidR="000F3E97" w:rsidRPr="00CC528A" w:rsidRDefault="000F3E97" w:rsidP="00CC528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528A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6B65BF" w:rsidRPr="00CC528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0" w:type="pct"/>
          </w:tcPr>
          <w:p w:rsidR="000F3E97" w:rsidRDefault="00CC528A" w:rsidP="00CC528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Vittorio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Porzio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CC5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29392D">
              <w:rPr>
                <w:b/>
                <w:sz w:val="22"/>
                <w:szCs w:val="22"/>
              </w:rPr>
              <w:t xml:space="preserve"> </w:t>
            </w:r>
            <w:r w:rsidR="00CC528A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CC528A">
        <w:trPr>
          <w:tblCellSpacing w:w="20" w:type="dxa"/>
        </w:trPr>
        <w:tc>
          <w:tcPr>
            <w:tcW w:w="1269" w:type="pct"/>
          </w:tcPr>
          <w:p w:rsidR="000F3E97" w:rsidRPr="00CC528A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528A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CC528A" w:rsidP="00CC52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Vozelj</w:t>
            </w:r>
          </w:p>
        </w:tc>
        <w:tc>
          <w:tcPr>
            <w:tcW w:w="1768" w:type="pct"/>
            <w:vMerge/>
          </w:tcPr>
          <w:p w:rsidR="000F3E97" w:rsidRDefault="000F3E97" w:rsidP="00CC528A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CC528A" w:rsidRDefault="00D25C45" w:rsidP="004F719F">
      <w:pPr>
        <w:rPr>
          <w:sz w:val="12"/>
          <w:szCs w:val="22"/>
        </w:rPr>
      </w:pPr>
    </w:p>
    <w:p w:rsidR="00D25C45" w:rsidRPr="00CC528A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</w:t>
      </w:r>
      <w:r w:rsidR="005B1FA6" w:rsidRPr="00CC528A">
        <w:rPr>
          <w:rFonts w:ascii="Tahoma" w:hAnsi="Tahoma" w:cs="Tahoma"/>
          <w:b/>
          <w:sz w:val="32"/>
          <w:szCs w:val="32"/>
        </w:rPr>
        <w:t xml:space="preserve">tujega učitelja za mesec </w:t>
      </w:r>
      <w:r w:rsidR="00266751" w:rsidRPr="00CC528A">
        <w:rPr>
          <w:rFonts w:ascii="Tahoma" w:hAnsi="Tahoma" w:cs="Tahoma"/>
          <w:b/>
          <w:sz w:val="32"/>
          <w:szCs w:val="32"/>
        </w:rPr>
        <w:t>JANUAR</w:t>
      </w:r>
      <w:r w:rsidR="005B1FA6" w:rsidRPr="00CC528A">
        <w:rPr>
          <w:rFonts w:ascii="Tahoma" w:hAnsi="Tahoma" w:cs="Tahoma"/>
          <w:b/>
          <w:sz w:val="32"/>
          <w:szCs w:val="32"/>
        </w:rPr>
        <w:t xml:space="preserve"> </w:t>
      </w:r>
      <w:r w:rsidRPr="00CC528A">
        <w:rPr>
          <w:rFonts w:ascii="Tahoma" w:hAnsi="Tahoma" w:cs="Tahoma"/>
          <w:b/>
          <w:sz w:val="32"/>
          <w:szCs w:val="32"/>
        </w:rPr>
        <w:t>šolskega leta 201</w:t>
      </w:r>
      <w:r w:rsidR="009556A6" w:rsidRPr="00CC528A">
        <w:rPr>
          <w:rFonts w:ascii="Tahoma" w:hAnsi="Tahoma" w:cs="Tahoma"/>
          <w:b/>
          <w:sz w:val="32"/>
          <w:szCs w:val="32"/>
        </w:rPr>
        <w:t>1</w:t>
      </w:r>
      <w:r w:rsidRPr="00CC528A">
        <w:rPr>
          <w:rFonts w:ascii="Tahoma" w:hAnsi="Tahoma" w:cs="Tahoma"/>
          <w:b/>
          <w:sz w:val="32"/>
          <w:szCs w:val="32"/>
        </w:rPr>
        <w:t>/1</w:t>
      </w:r>
      <w:r w:rsidR="009556A6" w:rsidRPr="00CC528A">
        <w:rPr>
          <w:rFonts w:ascii="Tahoma" w:hAnsi="Tahoma" w:cs="Tahoma"/>
          <w:b/>
          <w:sz w:val="32"/>
          <w:szCs w:val="32"/>
        </w:rPr>
        <w:t>2</w:t>
      </w:r>
    </w:p>
    <w:p w:rsidR="00D25C45" w:rsidRPr="00CC528A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CC528A" w:rsidRPr="00CC528A" w:rsidTr="00CC528A">
        <w:trPr>
          <w:tblCellSpacing w:w="20" w:type="dxa"/>
        </w:trPr>
        <w:tc>
          <w:tcPr>
            <w:tcW w:w="518" w:type="pct"/>
            <w:hideMark/>
          </w:tcPr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CC528A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C528A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CC528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C528A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CC528A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Št. dni / ur</w:t>
            </w:r>
            <w:r w:rsidR="00E856E1" w:rsidRPr="00CC528A">
              <w:rPr>
                <w:b/>
                <w:sz w:val="22"/>
                <w:szCs w:val="22"/>
              </w:rPr>
              <w:t>*</w:t>
            </w:r>
            <w:r w:rsidRPr="00CC528A">
              <w:rPr>
                <w:b/>
                <w:sz w:val="22"/>
                <w:szCs w:val="22"/>
              </w:rPr>
              <w:t xml:space="preserve">  drugega dela</w:t>
            </w:r>
            <w:r w:rsidRPr="00CC528A">
              <w:rPr>
                <w:b/>
                <w:sz w:val="22"/>
                <w:szCs w:val="22"/>
                <w:vertAlign w:val="superscript"/>
              </w:rPr>
              <w:t>1</w:t>
            </w:r>
            <w:r w:rsidRPr="00CC52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CC528A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Št. dni /</w:t>
            </w:r>
            <w:r w:rsidR="00E856E1" w:rsidRPr="00CC528A">
              <w:rPr>
                <w:b/>
                <w:sz w:val="22"/>
                <w:szCs w:val="22"/>
              </w:rPr>
              <w:t xml:space="preserve"> </w:t>
            </w:r>
            <w:r w:rsidRPr="00CC528A">
              <w:rPr>
                <w:b/>
                <w:sz w:val="22"/>
                <w:szCs w:val="22"/>
              </w:rPr>
              <w:t>ur</w:t>
            </w:r>
            <w:r w:rsidR="00E856E1" w:rsidRPr="00CC528A">
              <w:rPr>
                <w:b/>
                <w:sz w:val="22"/>
                <w:szCs w:val="22"/>
              </w:rPr>
              <w:t>*</w:t>
            </w:r>
            <w:r w:rsidRPr="00CC528A">
              <w:rPr>
                <w:b/>
                <w:sz w:val="22"/>
                <w:szCs w:val="22"/>
              </w:rPr>
              <w:t xml:space="preserve">  dopusta</w:t>
            </w:r>
            <w:r w:rsidRPr="00CC528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C528A" w:rsidRPr="00CC528A" w:rsidTr="00CC528A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CC528A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CC528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C528A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CC528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C528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CC528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C528A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CC528A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C528A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CC528A" w:rsidRDefault="0029392D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D050F7" w:rsidRPr="00CC528A" w:rsidRDefault="0029392D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5" w:type="pct"/>
            <w:vAlign w:val="center"/>
          </w:tcPr>
          <w:p w:rsidR="00D050F7" w:rsidRPr="00CC528A" w:rsidRDefault="0029392D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</w:tcPr>
          <w:p w:rsidR="00D050F7" w:rsidRPr="00CC528A" w:rsidRDefault="0029392D" w:rsidP="00282386">
            <w:pPr>
              <w:jc w:val="center"/>
              <w:rPr>
                <w:b/>
                <w:sz w:val="22"/>
                <w:szCs w:val="22"/>
              </w:rPr>
            </w:pPr>
            <w:r w:rsidRPr="00CC528A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CC528A" w:rsidRDefault="00E01693" w:rsidP="00E01693">
      <w:pPr>
        <w:ind w:left="360"/>
        <w:rPr>
          <w:b/>
          <w:sz w:val="4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C528A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9392D" w:rsidRPr="00CC528A" w:rsidRDefault="0029392D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V 3. letniku bo TU predstavil javni prevoz v Italiji</w:t>
            </w:r>
            <w:r w:rsidR="00CF61E7" w:rsidRPr="00CC528A">
              <w:rPr>
                <w:sz w:val="22"/>
              </w:rPr>
              <w:t>: V</w:t>
            </w:r>
            <w:r w:rsidR="006B65BF" w:rsidRPr="00CC528A">
              <w:rPr>
                <w:sz w:val="22"/>
              </w:rPr>
              <w:t>iaggiare in Italia</w:t>
            </w:r>
            <w:r w:rsidRPr="00CC528A">
              <w:rPr>
                <w:sz w:val="22"/>
              </w:rPr>
              <w:t xml:space="preserve"> </w:t>
            </w:r>
            <w:r w:rsidR="006B65BF" w:rsidRPr="00CC528A">
              <w:rPr>
                <w:sz w:val="22"/>
              </w:rPr>
              <w:t>(</w:t>
            </w:r>
            <w:r w:rsidRPr="00CC528A">
              <w:rPr>
                <w:sz w:val="22"/>
              </w:rPr>
              <w:t>vlak, letalo, avt</w:t>
            </w:r>
            <w:r w:rsidR="00744EF3" w:rsidRPr="00CC528A">
              <w:rPr>
                <w:sz w:val="22"/>
              </w:rPr>
              <w:t>obus</w:t>
            </w:r>
            <w:r w:rsidR="006B65BF" w:rsidRPr="00CC528A">
              <w:rPr>
                <w:sz w:val="22"/>
              </w:rPr>
              <w:t>)</w:t>
            </w:r>
            <w:r w:rsidR="00744EF3" w:rsidRPr="00CC528A">
              <w:rPr>
                <w:sz w:val="22"/>
              </w:rPr>
              <w:t>;</w:t>
            </w:r>
            <w:r w:rsidRPr="00CC528A">
              <w:rPr>
                <w:sz w:val="22"/>
              </w:rPr>
              <w:t xml:space="preserve"> dijaki bodo skupaj s TU poskušali izvaj</w:t>
            </w:r>
            <w:r w:rsidR="00744EF3" w:rsidRPr="00CC528A">
              <w:rPr>
                <w:sz w:val="22"/>
              </w:rPr>
              <w:t xml:space="preserve">ati čim bolj avtentične dialoge s ciljem zmožnosti suverene komunikacije na tem področju. </w:t>
            </w:r>
          </w:p>
          <w:p w:rsidR="00604AA0" w:rsidRPr="00CC528A" w:rsidRDefault="0029392D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Sicer pa bo mesec januar posvečen šolskem sistemu</w:t>
            </w:r>
            <w:r w:rsidR="00604AA0" w:rsidRPr="00CC528A">
              <w:rPr>
                <w:sz w:val="22"/>
              </w:rPr>
              <w:t xml:space="preserve"> v Sloveniji in Italiji. Tema bo postopoma obravnavana v vseh letnikih. Ker smo šolski sistem </w:t>
            </w:r>
            <w:r w:rsidR="00744EF3" w:rsidRPr="00CC528A">
              <w:rPr>
                <w:sz w:val="22"/>
              </w:rPr>
              <w:t xml:space="preserve">v 3. </w:t>
            </w:r>
            <w:r w:rsidR="006B65BF" w:rsidRPr="00CC528A">
              <w:rPr>
                <w:sz w:val="22"/>
              </w:rPr>
              <w:t>l</w:t>
            </w:r>
            <w:r w:rsidR="00744EF3" w:rsidRPr="00CC528A">
              <w:rPr>
                <w:sz w:val="22"/>
              </w:rPr>
              <w:t xml:space="preserve">etniku </w:t>
            </w:r>
            <w:r w:rsidR="00604AA0" w:rsidRPr="00CC528A">
              <w:rPr>
                <w:sz w:val="22"/>
              </w:rPr>
              <w:t>obravnavali že lani, bomo pri pouku u</w:t>
            </w:r>
            <w:r w:rsidR="00462D60" w:rsidRPr="00CC528A">
              <w:rPr>
                <w:sz w:val="22"/>
              </w:rPr>
              <w:t>porabili metodo snežene kepe</w:t>
            </w:r>
            <w:r w:rsidR="00604AA0" w:rsidRPr="00CC528A">
              <w:rPr>
                <w:sz w:val="22"/>
              </w:rPr>
              <w:t xml:space="preserve">. Tako bo </w:t>
            </w:r>
            <w:r w:rsidR="00F1479C" w:rsidRPr="00CC528A">
              <w:rPr>
                <w:sz w:val="22"/>
              </w:rPr>
              <w:t xml:space="preserve">v </w:t>
            </w:r>
            <w:r w:rsidR="00604AA0" w:rsidRPr="00CC528A">
              <w:rPr>
                <w:sz w:val="22"/>
              </w:rPr>
              <w:t>4. letniku,</w:t>
            </w:r>
            <w:r w:rsidR="006B65BF" w:rsidRPr="00CC528A">
              <w:rPr>
                <w:sz w:val="22"/>
              </w:rPr>
              <w:t xml:space="preserve"> </w:t>
            </w:r>
            <w:r w:rsidR="00604AA0" w:rsidRPr="00CC528A">
              <w:rPr>
                <w:sz w:val="22"/>
              </w:rPr>
              <w:t>kjer delno že poznajo šolski sistem sredn</w:t>
            </w:r>
            <w:r w:rsidR="00744EF3" w:rsidRPr="00CC528A">
              <w:rPr>
                <w:sz w:val="22"/>
              </w:rPr>
              <w:t>j</w:t>
            </w:r>
            <w:r w:rsidR="00604AA0" w:rsidRPr="00CC528A">
              <w:rPr>
                <w:sz w:val="22"/>
              </w:rPr>
              <w:t>ega šolstva, TU predstavil študij na univerzi oz. vrste faku</w:t>
            </w:r>
            <w:r w:rsidR="00744EF3" w:rsidRPr="00CC528A">
              <w:rPr>
                <w:sz w:val="22"/>
              </w:rPr>
              <w:t>ltet in možnosti študija. Podrobno bo predstavi</w:t>
            </w:r>
            <w:r w:rsidR="00462D60" w:rsidRPr="00CC528A">
              <w:rPr>
                <w:sz w:val="22"/>
              </w:rPr>
              <w:t>l tudi svoj študij politologije.</w:t>
            </w:r>
            <w:r w:rsidR="00604AA0" w:rsidRPr="00CC528A">
              <w:rPr>
                <w:sz w:val="22"/>
              </w:rPr>
              <w:t xml:space="preserve"> Kot dober poznavalec situacije tako v Italiji kot tudi v Sloveniji, bo dijakom  </w:t>
            </w:r>
            <w:r w:rsidR="006B65BF" w:rsidRPr="00CC528A">
              <w:rPr>
                <w:sz w:val="22"/>
              </w:rPr>
              <w:t>predočil</w:t>
            </w:r>
            <w:r w:rsidR="00604AA0" w:rsidRPr="00CC528A">
              <w:rPr>
                <w:sz w:val="22"/>
              </w:rPr>
              <w:t xml:space="preserve"> in jih opozoril  tudi na razlike v ocenjevanju, šolskih pravilih, pravicah in dolžnostih dija</w:t>
            </w:r>
            <w:r w:rsidR="00744EF3" w:rsidRPr="00CC528A">
              <w:rPr>
                <w:sz w:val="22"/>
              </w:rPr>
              <w:t>kov oz. načinom dela v</w:t>
            </w:r>
            <w:r w:rsidR="00604AA0" w:rsidRPr="00CC528A">
              <w:rPr>
                <w:sz w:val="22"/>
              </w:rPr>
              <w:t xml:space="preserve"> Italiji</w:t>
            </w:r>
            <w:r w:rsidR="00744EF3" w:rsidRPr="00CC528A">
              <w:rPr>
                <w:sz w:val="22"/>
              </w:rPr>
              <w:t>, s poudarkom na gimnaziji.</w:t>
            </w:r>
            <w:r w:rsidR="00604AA0" w:rsidRPr="00CC528A">
              <w:rPr>
                <w:sz w:val="22"/>
              </w:rPr>
              <w:t xml:space="preserve"> Ob tej priložnosti bomo poskušali osvetliti tudi medkulturne razlike in kako te razlike, ki so posledica določ</w:t>
            </w:r>
            <w:r w:rsidR="00462D60" w:rsidRPr="00CC528A">
              <w:rPr>
                <w:sz w:val="22"/>
              </w:rPr>
              <w:t>enega izobraževalnega sistema, v</w:t>
            </w:r>
            <w:r w:rsidR="00604AA0" w:rsidRPr="00CC528A">
              <w:rPr>
                <w:sz w:val="22"/>
              </w:rPr>
              <w:t>plivajo na nadaljnji študij.</w:t>
            </w:r>
          </w:p>
          <w:p w:rsidR="0029392D" w:rsidRPr="00CC528A" w:rsidRDefault="00CF61E7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 xml:space="preserve">V 2. letniku bomo obravnavali  prehranjevalnie navade Italijanov, ki jih bo TU predstavil in primerjal z navadami v Sloveniji.  </w:t>
            </w:r>
          </w:p>
        </w:tc>
      </w:tr>
      <w:tr w:rsidR="00260B60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CC528A" w:rsidRDefault="00744EF3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/</w:t>
            </w:r>
          </w:p>
        </w:tc>
      </w:tr>
      <w:tr w:rsidR="00260B60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CC528A" w:rsidRDefault="00744EF3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/</w:t>
            </w:r>
          </w:p>
        </w:tc>
      </w:tr>
    </w:tbl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CC528A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744EF3" w:rsidRPr="00CC528A" w:rsidRDefault="00744EF3" w:rsidP="00744EF3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 xml:space="preserve">V 2. letniku bo TU s svojo skupino nadaljeval s predstavitvijo Italije, dijaki pa bodo – kot rečeno – v 2. polovici meseca predstavili svoje prezentacije celotnemu razredu. </w:t>
            </w:r>
            <w:r w:rsidR="003A42B5" w:rsidRPr="00CC528A">
              <w:rPr>
                <w:sz w:val="22"/>
              </w:rPr>
              <w:t>Druga polovica razreda bo</w:t>
            </w:r>
            <w:r w:rsidR="006B65BF" w:rsidRPr="00CC528A">
              <w:rPr>
                <w:sz w:val="22"/>
              </w:rPr>
              <w:t xml:space="preserve"> morala v zvezi s tem</w:t>
            </w:r>
            <w:r w:rsidR="003A42B5" w:rsidRPr="00CC528A">
              <w:rPr>
                <w:sz w:val="22"/>
              </w:rPr>
              <w:t xml:space="preserve"> na</w:t>
            </w:r>
            <w:r w:rsidR="006B65BF" w:rsidRPr="00CC528A">
              <w:rPr>
                <w:sz w:val="22"/>
              </w:rPr>
              <w:t>pisati domačo nalogo, ki bo pra</w:t>
            </w:r>
            <w:r w:rsidR="003A42B5" w:rsidRPr="00CC528A">
              <w:rPr>
                <w:sz w:val="22"/>
              </w:rPr>
              <w:t xml:space="preserve">v tako kot prezentacije, ocenjena. Pri ocenjevanju bosta sodelovala oba učitelja. </w:t>
            </w:r>
            <w:r w:rsidRPr="00CC528A">
              <w:rPr>
                <w:sz w:val="22"/>
              </w:rPr>
              <w:t>Ta, za dijake inovativni pristop delitve razreda, se je za dijake izkazal kot zelo učinkovit, ker so v skupini boljši dijaki in se torej TU posveča nadarjenim dijakom, kar je tudi v skladu z vizijo letnega delovnega načrta celotne gimnazije.</w:t>
            </w:r>
            <w:r w:rsidR="003A42B5" w:rsidRPr="00CC528A">
              <w:rPr>
                <w:sz w:val="22"/>
              </w:rPr>
              <w:t xml:space="preserve"> Hkrati pa bodo v učni proces zelo intenzivno vključeni tudi dijaki 2. skupine.</w:t>
            </w:r>
            <w:r w:rsidRPr="00CC528A">
              <w:rPr>
                <w:sz w:val="22"/>
              </w:rPr>
              <w:t xml:space="preserve"> Po tem </w:t>
            </w:r>
            <w:r w:rsidR="006B65BF" w:rsidRPr="00CC528A">
              <w:rPr>
                <w:sz w:val="22"/>
              </w:rPr>
              <w:t>končanem mini projektu</w:t>
            </w:r>
            <w:r w:rsidRPr="00CC528A">
              <w:rPr>
                <w:sz w:val="22"/>
              </w:rPr>
              <w:t>, bo pouk potekal spet zdr</w:t>
            </w:r>
            <w:r w:rsidR="00BE7A05" w:rsidRPr="00CC528A">
              <w:rPr>
                <w:sz w:val="22"/>
              </w:rPr>
              <w:t>uženo (šolski sistem). *</w:t>
            </w:r>
            <w:r w:rsidR="003A42B5" w:rsidRPr="00CC528A">
              <w:rPr>
                <w:sz w:val="22"/>
              </w:rPr>
              <w:t xml:space="preserve"> </w:t>
            </w:r>
          </w:p>
          <w:p w:rsidR="004701B3" w:rsidRPr="00CC528A" w:rsidRDefault="004701B3" w:rsidP="00744EF3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Dijaki bodo na internetu sami poiskali italijanske gimnazije in v zvezi s tem reševali določene naloge (multimedijska učilnica).</w:t>
            </w:r>
          </w:p>
          <w:p w:rsidR="004701B3" w:rsidRPr="00CC528A" w:rsidRDefault="004701B3" w:rsidP="00744EF3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 xml:space="preserve">V 4. letniku bo na začetku januarja 1 ura posvečena temi </w:t>
            </w:r>
            <w:r w:rsidR="00CF61E7" w:rsidRPr="00CC528A">
              <w:rPr>
                <w:sz w:val="22"/>
              </w:rPr>
              <w:t>V</w:t>
            </w:r>
            <w:r w:rsidRPr="00CC528A">
              <w:rPr>
                <w:sz w:val="22"/>
              </w:rPr>
              <w:t xml:space="preserve"> bolnišnici. Ker dijaki že poznajo dobršen del tega besedišča, bo</w:t>
            </w:r>
            <w:r w:rsidR="00462D60" w:rsidRPr="00CC528A">
              <w:rPr>
                <w:sz w:val="22"/>
              </w:rPr>
              <w:t>do</w:t>
            </w:r>
            <w:r w:rsidRPr="00CC528A">
              <w:rPr>
                <w:sz w:val="22"/>
              </w:rPr>
              <w:t xml:space="preserve"> tudi tukaj</w:t>
            </w:r>
            <w:r w:rsidR="00462D60" w:rsidRPr="00CC528A">
              <w:rPr>
                <w:sz w:val="22"/>
              </w:rPr>
              <w:t xml:space="preserve"> dijaki širili besedišče oz. poglabljali že lani pridobljeno znanje.</w:t>
            </w:r>
          </w:p>
          <w:p w:rsidR="00260B60" w:rsidRPr="00CC528A" w:rsidRDefault="00F1479C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Tudi dijaki 3. In 4. letnika bodo morali ob koncu izdelati projektno raziskovalno nalogo, ki bo ocenjena.</w:t>
            </w:r>
          </w:p>
        </w:tc>
      </w:tr>
      <w:tr w:rsidR="00260B60" w:rsidRPr="006A67BB" w:rsidTr="00CC528A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CC528A" w:rsidRDefault="00744EF3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/</w:t>
            </w:r>
          </w:p>
        </w:tc>
      </w:tr>
      <w:tr w:rsidR="00260B60" w:rsidRPr="006A67BB" w:rsidTr="00CC528A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CC528A" w:rsidRDefault="00744EF3" w:rsidP="007D15AC">
            <w:pPr>
              <w:jc w:val="both"/>
              <w:rPr>
                <w:sz w:val="22"/>
              </w:rPr>
            </w:pPr>
            <w:r w:rsidRPr="00CC528A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Default="00BE7A05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Ponovno delitev 2. letnika sta TU in KTJ predvidela spet v mesecu februarju. Do takrat se bosta tudi odločila, kateri dijaki bodo tokrat v skupini s TU, oz. ali bo delitev ostala enaka.</w:t>
      </w:r>
    </w:p>
    <w:p w:rsidR="00BE7A05" w:rsidRPr="007A36BA" w:rsidRDefault="00BE7A05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Tudi za 3. letnik je delitev v skupine predvidena v februarju.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744EF3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Default="00744EF3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  <w:p w:rsidR="00CC528A" w:rsidRDefault="00CC528A" w:rsidP="007D15AC">
            <w:pPr>
              <w:jc w:val="both"/>
              <w:rPr>
                <w:b/>
              </w:rPr>
            </w:pPr>
          </w:p>
          <w:p w:rsidR="00CC528A" w:rsidRDefault="00CC528A" w:rsidP="007D15AC">
            <w:pPr>
              <w:jc w:val="both"/>
              <w:rPr>
                <w:b/>
              </w:rPr>
            </w:pPr>
          </w:p>
          <w:p w:rsidR="00CC528A" w:rsidRPr="006A67BB" w:rsidRDefault="00CC528A" w:rsidP="007D15AC">
            <w:pPr>
              <w:jc w:val="both"/>
              <w:rPr>
                <w:b/>
              </w:rPr>
            </w:pPr>
          </w:p>
        </w:tc>
      </w:tr>
      <w:tr w:rsidR="00E01693" w:rsidRPr="006A67BB" w:rsidTr="00CC528A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3A42B5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CC528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CC528A" w:rsidRDefault="003A42B5" w:rsidP="007D15AC">
            <w:pPr>
              <w:jc w:val="both"/>
              <w:rPr>
                <w:b/>
                <w:sz w:val="22"/>
              </w:rPr>
            </w:pPr>
            <w:r w:rsidRPr="00CC528A">
              <w:rPr>
                <w:b/>
                <w:sz w:val="22"/>
              </w:rPr>
              <w:t>/</w:t>
            </w:r>
          </w:p>
        </w:tc>
      </w:tr>
      <w:tr w:rsidR="002E019A" w:rsidRPr="006A67BB" w:rsidTr="00CC528A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CC528A" w:rsidRDefault="003A42B5" w:rsidP="007D15AC">
            <w:pPr>
              <w:jc w:val="both"/>
              <w:rPr>
                <w:b/>
                <w:sz w:val="22"/>
              </w:rPr>
            </w:pPr>
            <w:r w:rsidRPr="00CC528A">
              <w:rPr>
                <w:b/>
                <w:sz w:val="22"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CC528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E46709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6B65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D25C45" w:rsidRPr="00734C2D" w:rsidRDefault="00E46709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16 ur</w:t>
            </w:r>
            <w:r w:rsidR="00462D6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na teden (Evropski oddelki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)*</w:t>
            </w:r>
            <w:r w:rsidR="00462D60">
              <w:rPr>
                <w:b/>
                <w:bCs/>
                <w:color w:val="000000"/>
                <w:kern w:val="24"/>
                <w:sz w:val="22"/>
                <w:szCs w:val="22"/>
              </w:rPr>
              <w:t>(68 ur v januarju)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3A42B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CC528A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E4670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 na teden (PŠ)</w:t>
            </w:r>
            <w:r w:rsidR="00F1479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(4x4=16 ur)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CC528A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CC528A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3A42B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3A42B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CC528A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CC528A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1479C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2B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2B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2B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CC528A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46709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1479C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462D60">
        <w:rPr>
          <w:color w:val="000000"/>
          <w:sz w:val="22"/>
          <w:szCs w:val="22"/>
        </w:rPr>
        <w:t>* TU uči v evropskih oddelkih</w:t>
      </w:r>
      <w:r w:rsidR="00E46709">
        <w:rPr>
          <w:color w:val="000000"/>
          <w:sz w:val="22"/>
          <w:szCs w:val="22"/>
        </w:rPr>
        <w:t xml:space="preserve"> na</w:t>
      </w:r>
      <w:r w:rsidR="00462D60">
        <w:rPr>
          <w:color w:val="000000"/>
          <w:sz w:val="22"/>
          <w:szCs w:val="22"/>
        </w:rPr>
        <w:t xml:space="preserve"> gimnaziji v Kamniku.</w:t>
      </w:r>
      <w:r w:rsidR="00E46709">
        <w:rPr>
          <w:color w:val="000000"/>
          <w:sz w:val="22"/>
          <w:szCs w:val="22"/>
        </w:rPr>
        <w:t xml:space="preserve"> </w:t>
      </w:r>
      <w:r w:rsidR="00462D60">
        <w:rPr>
          <w:color w:val="000000"/>
          <w:sz w:val="22"/>
          <w:szCs w:val="22"/>
        </w:rPr>
        <w:t>(Šolski center Rudolfa Maistra – gimnazija Kamnik.)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CC528A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CC528A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2B5">
              <w:rPr>
                <w:b/>
                <w:kern w:val="24"/>
                <w:sz w:val="22"/>
                <w:szCs w:val="22"/>
              </w:rPr>
              <w:t>/</w:t>
            </w:r>
          </w:p>
        </w:tc>
      </w:tr>
      <w:tr w:rsidR="00D25C45" w:rsidRPr="00734C2D" w:rsidTr="00CC528A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A42B5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1479C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CC528A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CC528A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Katarina Vozelj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3A42B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3A42B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3A42B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3A42B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0"/>
        <w:gridCol w:w="3461"/>
        <w:gridCol w:w="3473"/>
        <w:gridCol w:w="3441"/>
      </w:tblGrid>
      <w:tr w:rsidR="00CC528A" w:rsidRPr="006A67BB" w:rsidTr="00CC528A">
        <w:trPr>
          <w:tblCellSpacing w:w="20" w:type="dxa"/>
        </w:trPr>
        <w:tc>
          <w:tcPr>
            <w:tcW w:w="1464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8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32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3A/C</w:t>
            </w:r>
          </w:p>
        </w:tc>
        <w:tc>
          <w:tcPr>
            <w:tcW w:w="1115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4A/C</w:t>
            </w:r>
          </w:p>
        </w:tc>
      </w:tr>
      <w:tr w:rsidR="00CC528A" w:rsidRPr="006A67BB" w:rsidTr="00CC528A">
        <w:trPr>
          <w:tblCellSpacing w:w="20" w:type="dxa"/>
        </w:trPr>
        <w:tc>
          <w:tcPr>
            <w:tcW w:w="1464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8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2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C528A" w:rsidRPr="006A67BB" w:rsidTr="00CC528A">
        <w:trPr>
          <w:tblCellSpacing w:w="20" w:type="dxa"/>
        </w:trPr>
        <w:tc>
          <w:tcPr>
            <w:tcW w:w="1464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8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CC528A" w:rsidRPr="006A67BB" w:rsidRDefault="00CC528A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A02E3A">
        <w:rPr>
          <w:color w:val="000000"/>
          <w:sz w:val="22"/>
        </w:rPr>
        <w:t xml:space="preserve"> </w:t>
      </w:r>
      <w:r w:rsidR="00F1479C">
        <w:rPr>
          <w:color w:val="000000"/>
          <w:sz w:val="22"/>
        </w:rPr>
        <w:t>razredi bodo razdeljeni</w:t>
      </w:r>
      <w:r w:rsidR="00A02E3A">
        <w:rPr>
          <w:color w:val="000000"/>
          <w:sz w:val="22"/>
        </w:rPr>
        <w:t xml:space="preserve"> </w:t>
      </w:r>
      <w:r w:rsidR="001E65F4">
        <w:rPr>
          <w:color w:val="000000"/>
          <w:sz w:val="22"/>
        </w:rPr>
        <w:t>v dve skupini (kot v decembru) zaradi izvedbe projektnih nalog.</w:t>
      </w:r>
    </w:p>
    <w:p w:rsidR="00F1479C" w:rsidRPr="00BB0BC8" w:rsidRDefault="00F1479C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A02E3A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Vozelj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A02E3A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Vittorio Porzio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BD" w:rsidRDefault="003345BD">
      <w:r>
        <w:separator/>
      </w:r>
    </w:p>
  </w:endnote>
  <w:endnote w:type="continuationSeparator" w:id="0">
    <w:p w:rsidR="003345BD" w:rsidRDefault="003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C528A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CC528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BD" w:rsidRDefault="003345BD">
      <w:r>
        <w:separator/>
      </w:r>
    </w:p>
  </w:footnote>
  <w:footnote w:type="continuationSeparator" w:id="0">
    <w:p w:rsidR="003345BD" w:rsidRDefault="0033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CC528A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05A81A4" wp14:editId="7B2C17FD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C29D7BF" wp14:editId="0C467116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6D2366" wp14:editId="46F3C1B1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E65F4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7174C"/>
    <w:rsid w:val="002806FA"/>
    <w:rsid w:val="00282386"/>
    <w:rsid w:val="00284C5E"/>
    <w:rsid w:val="0029392D"/>
    <w:rsid w:val="002A005F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345BD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A42B5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D60"/>
    <w:rsid w:val="00462EF5"/>
    <w:rsid w:val="004634F8"/>
    <w:rsid w:val="004701B3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04AA0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65BF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44EF3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C74C5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2667E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C6AF7"/>
    <w:rsid w:val="009D29E3"/>
    <w:rsid w:val="009D37E3"/>
    <w:rsid w:val="009F4D12"/>
    <w:rsid w:val="00A02E3A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1263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E7A05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C528A"/>
    <w:rsid w:val="00CE142F"/>
    <w:rsid w:val="00CE29F9"/>
    <w:rsid w:val="00CE4A6D"/>
    <w:rsid w:val="00CE5A9C"/>
    <w:rsid w:val="00CF61E7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46709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479C"/>
    <w:rsid w:val="00F177F8"/>
    <w:rsid w:val="00F213B0"/>
    <w:rsid w:val="00F247B0"/>
    <w:rsid w:val="00F2798F"/>
    <w:rsid w:val="00F378B1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2012-08-29T09:43:00Z</cp:lastPrinted>
  <dcterms:created xsi:type="dcterms:W3CDTF">2012-08-29T09:43:00Z</dcterms:created>
  <dcterms:modified xsi:type="dcterms:W3CDTF">2012-08-29T09:43:00Z</dcterms:modified>
</cp:coreProperties>
</file>