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A624D3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696862">
              <w:rPr>
                <w:b/>
                <w:sz w:val="22"/>
                <w:szCs w:val="22"/>
              </w:rPr>
              <w:t>6. 2. 2012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A624D3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1" w:type="pct"/>
            <w:gridSpan w:val="2"/>
          </w:tcPr>
          <w:p w:rsidR="00D25C45" w:rsidRDefault="00696862" w:rsidP="00A624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Novo mesto</w:t>
            </w:r>
          </w:p>
        </w:tc>
      </w:tr>
      <w:tr w:rsidR="00D25C45" w:rsidTr="00A624D3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696862" w:rsidP="00A624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0F3E97" w:rsidTr="00A624D3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696862" w:rsidP="00A624D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Elsa</w:t>
            </w:r>
            <w:proofErr w:type="spellEnd"/>
            <w:r>
              <w:rPr>
                <w:b/>
                <w:sz w:val="22"/>
                <w:szCs w:val="22"/>
              </w:rPr>
              <w:t xml:space="preserve"> Louis</w:t>
            </w:r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A624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696862">
              <w:rPr>
                <w:b/>
                <w:sz w:val="22"/>
                <w:szCs w:val="22"/>
              </w:rPr>
              <w:t xml:space="preserve"> F</w:t>
            </w:r>
            <w:r w:rsidR="00A624D3">
              <w:rPr>
                <w:b/>
                <w:sz w:val="22"/>
                <w:szCs w:val="22"/>
              </w:rPr>
              <w:t>RANCOŠČINA</w:t>
            </w:r>
          </w:p>
        </w:tc>
      </w:tr>
      <w:tr w:rsidR="000F3E97" w:rsidTr="00A624D3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696862" w:rsidP="00A624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Saška Horvat</w:t>
            </w:r>
          </w:p>
        </w:tc>
        <w:tc>
          <w:tcPr>
            <w:tcW w:w="1768" w:type="pct"/>
            <w:vMerge/>
          </w:tcPr>
          <w:p w:rsidR="000F3E97" w:rsidRDefault="000F3E97" w:rsidP="00A624D3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A624D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</w:t>
      </w:r>
      <w:r w:rsidR="005B1FA6" w:rsidRPr="00A624D3">
        <w:rPr>
          <w:rFonts w:ascii="Tahoma" w:hAnsi="Tahoma" w:cs="Tahoma"/>
          <w:b/>
          <w:sz w:val="32"/>
          <w:szCs w:val="32"/>
        </w:rPr>
        <w:t xml:space="preserve">mesec </w:t>
      </w:r>
      <w:r w:rsidR="00481641" w:rsidRPr="00A624D3">
        <w:rPr>
          <w:rFonts w:ascii="Tahoma" w:hAnsi="Tahoma" w:cs="Tahoma"/>
          <w:b/>
          <w:sz w:val="32"/>
          <w:szCs w:val="32"/>
        </w:rPr>
        <w:t>FEBRUAR</w:t>
      </w:r>
      <w:r w:rsidR="005B1FA6" w:rsidRPr="00A624D3">
        <w:rPr>
          <w:rFonts w:ascii="Tahoma" w:hAnsi="Tahoma" w:cs="Tahoma"/>
          <w:b/>
          <w:sz w:val="32"/>
          <w:szCs w:val="32"/>
        </w:rPr>
        <w:t xml:space="preserve"> </w:t>
      </w:r>
      <w:r w:rsidRPr="00A624D3">
        <w:rPr>
          <w:rFonts w:ascii="Tahoma" w:hAnsi="Tahoma" w:cs="Tahoma"/>
          <w:b/>
          <w:sz w:val="32"/>
          <w:szCs w:val="32"/>
        </w:rPr>
        <w:t>šolskega leta 201</w:t>
      </w:r>
      <w:r w:rsidR="009556A6" w:rsidRPr="00A624D3">
        <w:rPr>
          <w:rFonts w:ascii="Tahoma" w:hAnsi="Tahoma" w:cs="Tahoma"/>
          <w:b/>
          <w:sz w:val="32"/>
          <w:szCs w:val="32"/>
        </w:rPr>
        <w:t>1</w:t>
      </w:r>
      <w:r w:rsidRPr="00A624D3">
        <w:rPr>
          <w:rFonts w:ascii="Tahoma" w:hAnsi="Tahoma" w:cs="Tahoma"/>
          <w:b/>
          <w:sz w:val="32"/>
          <w:szCs w:val="32"/>
        </w:rPr>
        <w:t>/1</w:t>
      </w:r>
      <w:r w:rsidR="009556A6" w:rsidRPr="00A624D3">
        <w:rPr>
          <w:rFonts w:ascii="Tahoma" w:hAnsi="Tahoma" w:cs="Tahoma"/>
          <w:b/>
          <w:sz w:val="32"/>
          <w:szCs w:val="32"/>
        </w:rPr>
        <w:t>2</w:t>
      </w:r>
    </w:p>
    <w:p w:rsidR="00D25C45" w:rsidRPr="00A624D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A624D3" w:rsidRPr="00A624D3" w:rsidTr="00A624D3">
        <w:trPr>
          <w:tblCellSpacing w:w="20" w:type="dxa"/>
        </w:trPr>
        <w:tc>
          <w:tcPr>
            <w:tcW w:w="518" w:type="pct"/>
            <w:hideMark/>
          </w:tcPr>
          <w:p w:rsidR="00494461" w:rsidRPr="00A624D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A624D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A624D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A624D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A624D3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A624D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A624D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A624D3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A624D3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A624D3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A624D3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Št. dni / ur</w:t>
            </w:r>
            <w:r w:rsidR="00E856E1" w:rsidRPr="00A624D3">
              <w:rPr>
                <w:b/>
                <w:sz w:val="22"/>
                <w:szCs w:val="22"/>
              </w:rPr>
              <w:t>*</w:t>
            </w:r>
            <w:r w:rsidRPr="00A624D3">
              <w:rPr>
                <w:b/>
                <w:sz w:val="22"/>
                <w:szCs w:val="22"/>
              </w:rPr>
              <w:t xml:space="preserve">  drugega dela</w:t>
            </w:r>
            <w:r w:rsidRPr="00A624D3">
              <w:rPr>
                <w:b/>
                <w:sz w:val="22"/>
                <w:szCs w:val="22"/>
                <w:vertAlign w:val="superscript"/>
              </w:rPr>
              <w:t>1</w:t>
            </w:r>
            <w:r w:rsidRPr="00A624D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A624D3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Št. dni /</w:t>
            </w:r>
            <w:r w:rsidR="00E856E1" w:rsidRPr="00A624D3">
              <w:rPr>
                <w:b/>
                <w:sz w:val="22"/>
                <w:szCs w:val="22"/>
              </w:rPr>
              <w:t xml:space="preserve"> </w:t>
            </w:r>
            <w:r w:rsidRPr="00A624D3">
              <w:rPr>
                <w:b/>
                <w:sz w:val="22"/>
                <w:szCs w:val="22"/>
              </w:rPr>
              <w:t>ur</w:t>
            </w:r>
            <w:r w:rsidR="00E856E1" w:rsidRPr="00A624D3">
              <w:rPr>
                <w:b/>
                <w:sz w:val="22"/>
                <w:szCs w:val="22"/>
              </w:rPr>
              <w:t>*</w:t>
            </w:r>
            <w:r w:rsidRPr="00A624D3">
              <w:rPr>
                <w:b/>
                <w:sz w:val="22"/>
                <w:szCs w:val="22"/>
              </w:rPr>
              <w:t xml:space="preserve">  dopusta</w:t>
            </w:r>
            <w:r w:rsidRPr="00A624D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A624D3" w:rsidRPr="00A624D3" w:rsidTr="00A624D3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A624D3" w:rsidRDefault="00481641" w:rsidP="00282386">
            <w:pPr>
              <w:jc w:val="center"/>
              <w:rPr>
                <w:b/>
                <w:sz w:val="22"/>
                <w:szCs w:val="22"/>
              </w:rPr>
            </w:pPr>
            <w:r w:rsidRPr="00A624D3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</w:tcPr>
          <w:p w:rsidR="00D050F7" w:rsidRPr="00A624D3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A624D3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</w:tcPr>
          <w:p w:rsidR="00D050F7" w:rsidRPr="00A624D3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A624D3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A624D3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A624D3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</w:tcPr>
          <w:p w:rsidR="00D050F7" w:rsidRPr="00A624D3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A624D3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vAlign w:val="center"/>
          </w:tcPr>
          <w:p w:rsidR="00D050F7" w:rsidRPr="00A624D3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D050F7" w:rsidRPr="00A624D3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D050F7" w:rsidRPr="00A624D3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A624D3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2469E" w:rsidRDefault="00E2469E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A624D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 xml:space="preserve">Avtentična gradiva (literatura, film): v 4. letnikih Mali princ, film </w:t>
            </w:r>
            <w:proofErr w:type="spellStart"/>
            <w:r w:rsidRPr="00A624D3">
              <w:rPr>
                <w:sz w:val="22"/>
              </w:rPr>
              <w:t>Auberge</w:t>
            </w:r>
            <w:proofErr w:type="spellEnd"/>
            <w:r w:rsidRPr="00A624D3">
              <w:rPr>
                <w:sz w:val="22"/>
              </w:rPr>
              <w:t xml:space="preserve"> </w:t>
            </w:r>
            <w:proofErr w:type="spellStart"/>
            <w:r w:rsidRPr="00A624D3">
              <w:rPr>
                <w:sz w:val="22"/>
              </w:rPr>
              <w:t>Espagnol</w:t>
            </w:r>
            <w:proofErr w:type="spellEnd"/>
            <w:r w:rsidRPr="00A624D3">
              <w:rPr>
                <w:sz w:val="22"/>
              </w:rPr>
              <w:t xml:space="preserve"> (samostojno delo), delo s 1. letniki – predstavitev osebe</w:t>
            </w:r>
          </w:p>
        </w:tc>
      </w:tr>
      <w:tr w:rsidR="00260B60" w:rsidRPr="006A67BB" w:rsidTr="00A624D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>/</w:t>
            </w:r>
          </w:p>
        </w:tc>
      </w:tr>
      <w:tr w:rsidR="00260B60" w:rsidRPr="006A67BB" w:rsidTr="00A624D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A624D3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>Interpretacija besedila (4. letniki), debata o dobri in slabih straneh življenja (študija) v tujini</w:t>
            </w:r>
          </w:p>
        </w:tc>
      </w:tr>
      <w:tr w:rsidR="00260B60" w:rsidRPr="006A67BB" w:rsidTr="00A624D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>/</w:t>
            </w:r>
          </w:p>
        </w:tc>
      </w:tr>
      <w:tr w:rsidR="00260B60" w:rsidRPr="006A67BB" w:rsidTr="00A624D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A624D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 xml:space="preserve">Razvijanje pisne zmožnosti: pisanje </w:t>
            </w:r>
            <w:proofErr w:type="spellStart"/>
            <w:r w:rsidRPr="00A624D3">
              <w:rPr>
                <w:sz w:val="22"/>
              </w:rPr>
              <w:t>argumentativnega</w:t>
            </w:r>
            <w:proofErr w:type="spellEnd"/>
            <w:r w:rsidRPr="00A624D3">
              <w:rPr>
                <w:sz w:val="22"/>
              </w:rPr>
              <w:t xml:space="preserve"> eseja na temo življenja v tujini</w:t>
            </w:r>
          </w:p>
        </w:tc>
      </w:tr>
      <w:tr w:rsidR="00E01693" w:rsidRPr="006A67BB" w:rsidTr="00A624D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>/</w:t>
            </w:r>
          </w:p>
        </w:tc>
      </w:tr>
      <w:tr w:rsidR="00E01693" w:rsidRPr="006A67BB" w:rsidTr="00A624D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A624D3" w:rsidRDefault="00696862" w:rsidP="007D15AC">
            <w:pPr>
              <w:jc w:val="both"/>
              <w:rPr>
                <w:sz w:val="22"/>
              </w:rPr>
            </w:pPr>
            <w:r w:rsidRPr="00A624D3">
              <w:rPr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A624D3" w:rsidRDefault="00A624D3" w:rsidP="00E01693">
      <w:pPr>
        <w:jc w:val="right"/>
        <w:rPr>
          <w:sz w:val="16"/>
          <w:szCs w:val="16"/>
        </w:rPr>
      </w:pPr>
    </w:p>
    <w:p w:rsidR="00A624D3" w:rsidRDefault="00A624D3" w:rsidP="00E01693">
      <w:pPr>
        <w:jc w:val="right"/>
        <w:rPr>
          <w:sz w:val="16"/>
          <w:szCs w:val="16"/>
        </w:rPr>
      </w:pPr>
    </w:p>
    <w:p w:rsidR="00A624D3" w:rsidRDefault="00A624D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A624D3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A624D3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0285E" w:rsidRDefault="0030285E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A624D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69686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80/20 %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69686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</w:t>
            </w:r>
          </w:p>
        </w:tc>
      </w:tr>
      <w:tr w:rsidR="00D25C45" w:rsidRPr="00734C2D" w:rsidTr="00A624D3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A624D3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A624D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69686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69686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</w:t>
            </w:r>
          </w:p>
        </w:tc>
      </w:tr>
      <w:tr w:rsidR="00D25C45" w:rsidRPr="00734C2D" w:rsidTr="00A624D3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A624D3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96862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A624D3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96862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29"/>
        <w:gridCol w:w="1221"/>
        <w:gridCol w:w="1302"/>
        <w:gridCol w:w="2353"/>
        <w:gridCol w:w="1198"/>
        <w:gridCol w:w="1320"/>
        <w:gridCol w:w="2460"/>
        <w:gridCol w:w="1244"/>
        <w:gridCol w:w="1348"/>
      </w:tblGrid>
      <w:tr w:rsidR="00D25C45" w:rsidRPr="00734C2D" w:rsidTr="00A624D3">
        <w:trPr>
          <w:trHeight w:val="300"/>
          <w:tblCellSpacing w:w="20" w:type="dxa"/>
        </w:trPr>
        <w:tc>
          <w:tcPr>
            <w:tcW w:w="3277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A624D3">
        <w:trPr>
          <w:trHeight w:val="227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8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A624D3">
        <w:trPr>
          <w:trHeight w:val="269"/>
          <w:tblCellSpacing w:w="20" w:type="dxa"/>
        </w:trPr>
        <w:tc>
          <w:tcPr>
            <w:tcW w:w="164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96862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614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68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A624D3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A624D3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69686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Saška Horvat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69686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Fra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D25C45" w:rsidRPr="00734C2D" w:rsidRDefault="0069686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A624D3">
        <w:trPr>
          <w:trHeight w:val="269"/>
          <w:tblCellSpacing w:w="20" w:type="dxa"/>
        </w:trPr>
        <w:tc>
          <w:tcPr>
            <w:tcW w:w="811" w:type="pct"/>
            <w:shd w:val="clear" w:color="auto" w:fill="auto"/>
            <w:hideMark/>
          </w:tcPr>
          <w:p w:rsidR="00D25C45" w:rsidRPr="00734C2D" w:rsidRDefault="0069686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Verena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Potočnik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69686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Fra</w:t>
            </w:r>
            <w:proofErr w:type="spellEnd"/>
          </w:p>
        </w:tc>
        <w:tc>
          <w:tcPr>
            <w:tcW w:w="407" w:type="pct"/>
            <w:shd w:val="clear" w:color="auto" w:fill="auto"/>
          </w:tcPr>
          <w:p w:rsidR="00D25C45" w:rsidRPr="00734C2D" w:rsidRDefault="0069686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460"/>
        <w:gridCol w:w="3530"/>
        <w:gridCol w:w="3365"/>
        <w:gridCol w:w="3520"/>
      </w:tblGrid>
      <w:tr w:rsidR="00A624D3" w:rsidRPr="006A67BB" w:rsidTr="00A624D3">
        <w:trPr>
          <w:tblCellSpacing w:w="20" w:type="dxa"/>
        </w:trPr>
        <w:tc>
          <w:tcPr>
            <w:tcW w:w="145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51" w:type="pct"/>
            <w:shd w:val="clear" w:color="auto" w:fill="auto"/>
          </w:tcPr>
          <w:p w:rsidR="00A624D3" w:rsidRPr="006A67BB" w:rsidRDefault="00A624D3" w:rsidP="00696862">
            <w:pPr>
              <w:numPr>
                <w:ilvl w:val="0"/>
                <w:numId w:val="32"/>
              </w:num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97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  <w:r>
              <w:rPr>
                <w:b/>
              </w:rPr>
              <w:t>4. d, k</w:t>
            </w:r>
          </w:p>
        </w:tc>
        <w:tc>
          <w:tcPr>
            <w:tcW w:w="114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  <w:r>
              <w:rPr>
                <w:b/>
              </w:rPr>
              <w:t>Samostojno</w:t>
            </w:r>
          </w:p>
        </w:tc>
      </w:tr>
      <w:tr w:rsidR="00A624D3" w:rsidRPr="006A67BB" w:rsidTr="00A624D3">
        <w:trPr>
          <w:tblCellSpacing w:w="20" w:type="dxa"/>
        </w:trPr>
        <w:tc>
          <w:tcPr>
            <w:tcW w:w="145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5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97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4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624D3" w:rsidRPr="006A67BB" w:rsidTr="00A624D3">
        <w:trPr>
          <w:tblCellSpacing w:w="20" w:type="dxa"/>
        </w:trPr>
        <w:tc>
          <w:tcPr>
            <w:tcW w:w="145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5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</w:p>
        </w:tc>
        <w:tc>
          <w:tcPr>
            <w:tcW w:w="1097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</w:p>
        </w:tc>
        <w:tc>
          <w:tcPr>
            <w:tcW w:w="1141" w:type="pct"/>
            <w:shd w:val="clear" w:color="auto" w:fill="auto"/>
          </w:tcPr>
          <w:p w:rsidR="00A624D3" w:rsidRPr="006A67BB" w:rsidRDefault="00A624D3" w:rsidP="004F6768">
            <w:pPr>
              <w:jc w:val="both"/>
              <w:rPr>
                <w:b/>
              </w:rPr>
            </w:pP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385298">
            <w:pPr>
              <w:rPr>
                <w:b/>
                <w:sz w:val="22"/>
                <w:szCs w:val="22"/>
              </w:rPr>
            </w:pPr>
            <w:r w:rsidRPr="00143B5B">
              <w:rPr>
                <w:sz w:val="22"/>
                <w:szCs w:val="22"/>
              </w:rPr>
              <w:t>koordinator TJ</w:t>
            </w:r>
            <w:r w:rsidR="00696862">
              <w:rPr>
                <w:sz w:val="22"/>
                <w:szCs w:val="22"/>
              </w:rPr>
              <w:t>, Saška Horvat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696862" w:rsidP="00A624D3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Verena</w:t>
            </w:r>
            <w:proofErr w:type="spellEnd"/>
            <w:r>
              <w:rPr>
                <w:sz w:val="22"/>
                <w:szCs w:val="22"/>
              </w:rPr>
              <w:t xml:space="preserve"> Potočnik</w:t>
            </w:r>
            <w:bookmarkStart w:id="0" w:name="_GoBack"/>
            <w:bookmarkEnd w:id="0"/>
            <w:r w:rsidR="00385298" w:rsidRPr="00143B5B">
              <w:rPr>
                <w:sz w:val="22"/>
                <w:szCs w:val="22"/>
              </w:rPr>
              <w:t xml:space="preserve">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90" w:rsidRDefault="00A64890">
      <w:r>
        <w:separator/>
      </w:r>
    </w:p>
  </w:endnote>
  <w:endnote w:type="continuationSeparator" w:id="0">
    <w:p w:rsidR="00A64890" w:rsidRDefault="00A6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A624D3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A624D3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90" w:rsidRDefault="00A64890">
      <w:r>
        <w:separator/>
      </w:r>
    </w:p>
  </w:footnote>
  <w:footnote w:type="continuationSeparator" w:id="0">
    <w:p w:rsidR="00A64890" w:rsidRDefault="00A6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A624D3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7A5AACE" wp14:editId="599697BF">
          <wp:simplePos x="0" y="0"/>
          <wp:positionH relativeFrom="column">
            <wp:posOffset>7161530</wp:posOffset>
          </wp:positionH>
          <wp:positionV relativeFrom="paragraph">
            <wp:posOffset>-71120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6A95F38" wp14:editId="7AB69845">
          <wp:simplePos x="0" y="0"/>
          <wp:positionH relativeFrom="column">
            <wp:posOffset>-27305</wp:posOffset>
          </wp:positionH>
          <wp:positionV relativeFrom="paragraph">
            <wp:posOffset>-177165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FC805C" wp14:editId="76D51579">
          <wp:extent cx="3456305" cy="52133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45F"/>
    <w:multiLevelType w:val="hybridMultilevel"/>
    <w:tmpl w:val="A26ED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  <w:num w:numId="25">
    <w:abstractNumId w:val="2"/>
  </w:num>
  <w:num w:numId="26">
    <w:abstractNumId w:val="14"/>
  </w:num>
  <w:num w:numId="27">
    <w:abstractNumId w:val="23"/>
  </w:num>
  <w:num w:numId="28">
    <w:abstractNumId w:val="9"/>
  </w:num>
  <w:num w:numId="29">
    <w:abstractNumId w:val="7"/>
  </w:num>
  <w:num w:numId="30">
    <w:abstractNumId w:val="20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164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6862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624D3"/>
    <w:rsid w:val="00A64890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6706B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62AB-2387-4C74-B5FA-A44F3436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2012-08-29T08:04:00Z</cp:lastPrinted>
  <dcterms:created xsi:type="dcterms:W3CDTF">2012-08-29T08:04:00Z</dcterms:created>
  <dcterms:modified xsi:type="dcterms:W3CDTF">2012-08-29T08:04:00Z</dcterms:modified>
</cp:coreProperties>
</file>