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08E" w:rsidRDefault="009A008E"/>
    <w:p w:rsidR="009A008E" w:rsidRDefault="009A008E"/>
    <w:p w:rsidR="009A008E" w:rsidRDefault="009A008E"/>
    <w:p w:rsidR="009A008E" w:rsidRDefault="009A008E"/>
    <w:p w:rsidR="009A008E" w:rsidRDefault="009A008E" w:rsidP="009A008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Primer opredelitve kompetenc iz UN, 2008:</w:t>
      </w:r>
    </w:p>
    <w:p w:rsidR="009A008E" w:rsidRDefault="009A008E" w:rsidP="009A008E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Zmožnosti so vključene v vsebine, cilje in pričakovane dosežke. Izhajamo iz osmih ključnih zmožnosti </w:t>
      </w:r>
      <w:r>
        <w:rPr>
          <w:rFonts w:ascii="Arial" w:hAnsi="Arial" w:cs="Arial"/>
          <w:b/>
          <w:bCs/>
        </w:rPr>
        <w:t>Evropske komisije</w:t>
      </w:r>
      <w:r>
        <w:rPr>
          <w:rFonts w:ascii="Arial" w:hAnsi="Arial" w:cs="Arial"/>
        </w:rPr>
        <w:t>:</w:t>
      </w:r>
    </w:p>
    <w:p w:rsidR="009A008E" w:rsidRDefault="009A008E" w:rsidP="009A008E">
      <w:pPr>
        <w:numPr>
          <w:ilvl w:val="0"/>
          <w:numId w:val="4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sporazumevanje v slovenščini/italijanščini/madžarščini (maternem jeziku),</w:t>
      </w:r>
    </w:p>
    <w:p w:rsidR="009A008E" w:rsidRDefault="009A008E" w:rsidP="009A008E">
      <w:pPr>
        <w:numPr>
          <w:ilvl w:val="0"/>
          <w:numId w:val="4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sporazumevanje v tujem/drugem jeziku (tj. jeziku okolja),</w:t>
      </w:r>
    </w:p>
    <w:p w:rsidR="009A008E" w:rsidRDefault="009A008E" w:rsidP="009A008E">
      <w:pPr>
        <w:numPr>
          <w:ilvl w:val="0"/>
          <w:numId w:val="4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matematična pismenost ter temeljne zmožnosti v naravoslovju in tehnologiji,</w:t>
      </w:r>
    </w:p>
    <w:p w:rsidR="009A008E" w:rsidRDefault="009A008E" w:rsidP="009A008E">
      <w:pPr>
        <w:numPr>
          <w:ilvl w:val="0"/>
          <w:numId w:val="4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digitalna kompetenca,</w:t>
      </w:r>
    </w:p>
    <w:p w:rsidR="009A008E" w:rsidRDefault="009A008E" w:rsidP="009A008E">
      <w:pPr>
        <w:numPr>
          <w:ilvl w:val="0"/>
          <w:numId w:val="4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učenje učenja,</w:t>
      </w:r>
    </w:p>
    <w:p w:rsidR="009A008E" w:rsidRDefault="009A008E" w:rsidP="009A008E">
      <w:pPr>
        <w:numPr>
          <w:ilvl w:val="0"/>
          <w:numId w:val="4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osebne in državljanske zmožnosti,</w:t>
      </w:r>
    </w:p>
    <w:p w:rsidR="009A008E" w:rsidRDefault="009A008E" w:rsidP="009A008E">
      <w:pPr>
        <w:numPr>
          <w:ilvl w:val="0"/>
          <w:numId w:val="4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podjetnost,</w:t>
      </w:r>
    </w:p>
    <w:p w:rsidR="009A008E" w:rsidRPr="009A008E" w:rsidRDefault="009A008E" w:rsidP="009A008E">
      <w:pPr>
        <w:numPr>
          <w:ilvl w:val="0"/>
          <w:numId w:val="4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kulturna zavest.</w:t>
      </w:r>
    </w:p>
    <w:p w:rsidR="009A008E" w:rsidRDefault="009A008E" w:rsidP="009A008E">
      <w:pPr>
        <w:spacing w:after="0" w:line="240" w:lineRule="auto"/>
        <w:ind w:left="720"/>
        <w:jc w:val="both"/>
        <w:rPr>
          <w:rFonts w:ascii="Arial" w:hAnsi="Arial" w:cs="Arial"/>
          <w:iCs/>
        </w:rPr>
      </w:pPr>
    </w:p>
    <w:p w:rsidR="009A008E" w:rsidRDefault="009A008E" w:rsidP="009A008E">
      <w:pPr>
        <w:spacing w:after="0" w:line="240" w:lineRule="auto"/>
        <w:ind w:left="720"/>
        <w:jc w:val="both"/>
        <w:rPr>
          <w:rFonts w:ascii="Arial" w:hAnsi="Arial" w:cs="Arial"/>
          <w:iCs/>
        </w:rPr>
      </w:pPr>
    </w:p>
    <w:p w:rsidR="009A008E" w:rsidRPr="009A008E" w:rsidRDefault="009A008E" w:rsidP="009A008E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9A008E" w:rsidRDefault="009A008E" w:rsidP="009A008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Osebne kompetence: </w:t>
      </w:r>
    </w:p>
    <w:p w:rsidR="009A008E" w:rsidRDefault="009A008E" w:rsidP="009A008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radovednost,</w:t>
      </w:r>
    </w:p>
    <w:p w:rsidR="009A008E" w:rsidRDefault="009A008E" w:rsidP="009A008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motivacija,</w:t>
      </w:r>
    </w:p>
    <w:p w:rsidR="009A008E" w:rsidRDefault="009A008E" w:rsidP="009A008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kreativnost,</w:t>
      </w:r>
    </w:p>
    <w:p w:rsidR="009A008E" w:rsidRDefault="009A008E" w:rsidP="009A008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skeptičnost,</w:t>
      </w:r>
    </w:p>
    <w:p w:rsidR="009A008E" w:rsidRDefault="009A008E" w:rsidP="009A008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poštenost,</w:t>
      </w:r>
    </w:p>
    <w:p w:rsidR="009A008E" w:rsidRDefault="009A008E" w:rsidP="009A008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navdušenje,</w:t>
      </w:r>
    </w:p>
    <w:p w:rsidR="009A008E" w:rsidRDefault="009A008E" w:rsidP="009A008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samospoštovanje,</w:t>
      </w:r>
    </w:p>
    <w:p w:rsidR="009A008E" w:rsidRDefault="009A008E" w:rsidP="009A008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zanesljivost,</w:t>
      </w:r>
    </w:p>
    <w:p w:rsidR="009A008E" w:rsidRDefault="009A008E" w:rsidP="009A008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odgovornost,</w:t>
      </w:r>
    </w:p>
    <w:p w:rsidR="009A008E" w:rsidRDefault="009A008E" w:rsidP="009A008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iniciativnost,</w:t>
      </w:r>
    </w:p>
    <w:p w:rsidR="009A008E" w:rsidRDefault="009A008E" w:rsidP="009A008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vztrajnost…</w:t>
      </w:r>
    </w:p>
    <w:p w:rsidR="009A008E" w:rsidRDefault="009A008E" w:rsidP="009A008E">
      <w:pPr>
        <w:jc w:val="both"/>
        <w:rPr>
          <w:rFonts w:ascii="Arial" w:hAnsi="Arial" w:cs="Arial"/>
          <w:b/>
        </w:rPr>
      </w:pPr>
    </w:p>
    <w:p w:rsidR="00137F9E" w:rsidRDefault="009A008E" w:rsidP="009A008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9A008E" w:rsidRDefault="009A008E" w:rsidP="009A008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Socialne ali medosebne:</w:t>
      </w:r>
    </w:p>
    <w:p w:rsidR="009A008E" w:rsidRDefault="009A008E" w:rsidP="009A008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komuniciranje,</w:t>
      </w:r>
    </w:p>
    <w:p w:rsidR="009A008E" w:rsidRDefault="009A008E" w:rsidP="009A008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timsko delo,</w:t>
      </w:r>
    </w:p>
    <w:p w:rsidR="009A008E" w:rsidRDefault="009A008E" w:rsidP="009A008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jezikovne spretnosti,</w:t>
      </w:r>
    </w:p>
    <w:p w:rsidR="009A008E" w:rsidRDefault="009A008E" w:rsidP="009A008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zavedanje drugih kultur in tradicij in njihovo spoštovanje,</w:t>
      </w:r>
    </w:p>
    <w:p w:rsidR="009A008E" w:rsidRDefault="009A008E" w:rsidP="009A008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aktivno državljanstvo</w:t>
      </w:r>
    </w:p>
    <w:p w:rsidR="00086469" w:rsidRDefault="00086469" w:rsidP="00086469">
      <w:pPr>
        <w:spacing w:after="0" w:line="240" w:lineRule="auto"/>
        <w:jc w:val="both"/>
        <w:rPr>
          <w:rFonts w:ascii="Arial" w:hAnsi="Arial" w:cs="Arial"/>
        </w:rPr>
      </w:pPr>
    </w:p>
    <w:p w:rsidR="00086469" w:rsidRDefault="00086469" w:rsidP="00086469">
      <w:pPr>
        <w:spacing w:after="0" w:line="240" w:lineRule="auto"/>
        <w:jc w:val="both"/>
        <w:rPr>
          <w:rFonts w:ascii="Arial" w:hAnsi="Arial" w:cs="Arial"/>
        </w:rPr>
      </w:pPr>
    </w:p>
    <w:p w:rsidR="00086469" w:rsidRDefault="00086469" w:rsidP="00086469">
      <w:pPr>
        <w:spacing w:after="0" w:line="240" w:lineRule="auto"/>
        <w:jc w:val="both"/>
        <w:rPr>
          <w:rFonts w:ascii="Arial" w:hAnsi="Arial" w:cs="Arial"/>
        </w:rPr>
      </w:pPr>
    </w:p>
    <w:p w:rsidR="00086469" w:rsidRDefault="00086469" w:rsidP="00086469">
      <w:pPr>
        <w:spacing w:after="0" w:line="240" w:lineRule="auto"/>
        <w:jc w:val="both"/>
        <w:rPr>
          <w:rFonts w:ascii="Arial" w:hAnsi="Arial" w:cs="Arial"/>
        </w:rPr>
      </w:pPr>
    </w:p>
    <w:p w:rsidR="00086469" w:rsidRDefault="00086469" w:rsidP="000864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Calibri" w:hAnsi="Calibri" w:cs="Helvetica"/>
          <w:noProof/>
          <w:color w:val="ED1C24"/>
          <w:sz w:val="21"/>
          <w:szCs w:val="21"/>
          <w:lang w:eastAsia="sl-SI"/>
        </w:rPr>
        <w:lastRenderedPageBreak/>
        <w:drawing>
          <wp:inline distT="0" distB="0" distL="0" distR="0" wp14:anchorId="0DD96CC7" wp14:editId="692EBB66">
            <wp:extent cx="5760720" cy="2592070"/>
            <wp:effectExtent l="0" t="0" r="0" b="0"/>
            <wp:docPr id="1" name="Slika 1" descr="Socialne kompetenc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ialne kompetenc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7F9E" w:rsidRDefault="00137F9E" w:rsidP="00137F9E">
      <w:pPr>
        <w:spacing w:after="0" w:line="240" w:lineRule="auto"/>
        <w:jc w:val="both"/>
        <w:rPr>
          <w:rFonts w:ascii="Arial" w:hAnsi="Arial" w:cs="Arial"/>
        </w:rPr>
      </w:pPr>
    </w:p>
    <w:p w:rsidR="00137F9E" w:rsidRDefault="00137F9E" w:rsidP="00137F9E">
      <w:pPr>
        <w:spacing w:after="0" w:line="240" w:lineRule="auto"/>
        <w:jc w:val="both"/>
        <w:rPr>
          <w:rFonts w:ascii="Arial" w:hAnsi="Arial" w:cs="Arial"/>
        </w:rPr>
      </w:pPr>
    </w:p>
    <w:p w:rsidR="009A008E" w:rsidRDefault="009A008E" w:rsidP="009A008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Drugi pogledi na kompetence:</w:t>
      </w:r>
    </w:p>
    <w:p w:rsidR="009A008E" w:rsidRDefault="009A008E" w:rsidP="009A008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akcijska kompetenca</w:t>
      </w:r>
      <w:r>
        <w:rPr>
          <w:rFonts w:ascii="Arial" w:hAnsi="Arial" w:cs="Arial"/>
        </w:rPr>
        <w:t xml:space="preserve"> (spoznavni, motivacijski in socialni predpogoji za uspešno učenje in uporabo naučenega),</w:t>
      </w:r>
    </w:p>
    <w:p w:rsidR="009A008E" w:rsidRDefault="009A008E" w:rsidP="009A008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Weinert</w:t>
      </w:r>
      <w:proofErr w:type="spellEnd"/>
      <w:r>
        <w:rPr>
          <w:rFonts w:ascii="Arial" w:hAnsi="Arial" w:cs="Arial"/>
        </w:rPr>
        <w:t>: kompetence so zmožnosti, znanje, razumevanje, spretnosti, delovanje, izkušnje, motivacija…,</w:t>
      </w:r>
    </w:p>
    <w:p w:rsidR="009A008E" w:rsidRDefault="009A008E" w:rsidP="009A008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temeljne (operativne) kompetence</w:t>
      </w:r>
      <w:r>
        <w:rPr>
          <w:rFonts w:ascii="Arial" w:hAnsi="Arial" w:cs="Arial"/>
        </w:rPr>
        <w:t xml:space="preserve">: informacijske veščine, sporazumevanje v materinem in tujih jezikih, uporaba novih tehnologij, socialne, </w:t>
      </w:r>
      <w:proofErr w:type="spellStart"/>
      <w:r>
        <w:rPr>
          <w:rFonts w:ascii="Arial" w:hAnsi="Arial" w:cs="Arial"/>
        </w:rPr>
        <w:t>podjetnostne</w:t>
      </w:r>
      <w:proofErr w:type="spellEnd"/>
      <w:r>
        <w:rPr>
          <w:rFonts w:ascii="Arial" w:hAnsi="Arial" w:cs="Arial"/>
        </w:rPr>
        <w:t xml:space="preserve"> veščine, aktivno državljanstvo, kulturna ozaveščenost…,</w:t>
      </w:r>
    </w:p>
    <w:p w:rsidR="009A008E" w:rsidRDefault="009A008E" w:rsidP="009A008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metakompetence</w:t>
      </w:r>
      <w:proofErr w:type="spellEnd"/>
      <w:r>
        <w:rPr>
          <w:rFonts w:ascii="Arial" w:hAnsi="Arial" w:cs="Arial"/>
        </w:rPr>
        <w:t xml:space="preserve">: posameznikov uvid v lastne intelektualne šibkosti in prednosti (učenje učenja: veščine načrtovanja, </w:t>
      </w:r>
      <w:proofErr w:type="spellStart"/>
      <w:r>
        <w:rPr>
          <w:rFonts w:ascii="Arial" w:hAnsi="Arial" w:cs="Arial"/>
        </w:rPr>
        <w:t>iniciranja</w:t>
      </w:r>
      <w:proofErr w:type="spellEnd"/>
      <w:r>
        <w:rPr>
          <w:rFonts w:ascii="Arial" w:hAnsi="Arial" w:cs="Arial"/>
        </w:rPr>
        <w:t>, opazovanja, vrednotenja lastnih spoznavnih procesov, znanje o učenju in reševanju problemov, uporaba učinkovitih kognitivnih podpor in orodij (npr. miselnih vzorcev, analogij, grafičnih organizatorjev…).</w:t>
      </w:r>
    </w:p>
    <w:p w:rsidR="009A008E" w:rsidRDefault="009A008E" w:rsidP="009A008E">
      <w:pPr>
        <w:spacing w:after="0" w:line="240" w:lineRule="auto"/>
        <w:jc w:val="both"/>
        <w:rPr>
          <w:rFonts w:ascii="Arial" w:hAnsi="Arial" w:cs="Arial"/>
        </w:rPr>
      </w:pPr>
    </w:p>
    <w:p w:rsidR="009A008E" w:rsidRDefault="009A008E" w:rsidP="009A008E">
      <w:pPr>
        <w:spacing w:after="0" w:line="240" w:lineRule="auto"/>
        <w:jc w:val="both"/>
        <w:rPr>
          <w:rFonts w:ascii="Arial" w:hAnsi="Arial" w:cs="Arial"/>
        </w:rPr>
      </w:pPr>
    </w:p>
    <w:p w:rsidR="009A008E" w:rsidRDefault="009A008E" w:rsidP="009A008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Veščine (</w:t>
      </w:r>
      <w:proofErr w:type="spellStart"/>
      <w:r>
        <w:rPr>
          <w:rFonts w:ascii="Arial" w:hAnsi="Arial" w:cs="Arial"/>
          <w:b/>
        </w:rPr>
        <w:t>skill</w:t>
      </w:r>
      <w:proofErr w:type="spellEnd"/>
      <w:r>
        <w:rPr>
          <w:rFonts w:ascii="Arial" w:hAnsi="Arial" w:cs="Arial"/>
          <w:b/>
        </w:rPr>
        <w:t xml:space="preserve">) </w:t>
      </w:r>
      <w:r>
        <w:rPr>
          <w:rFonts w:ascii="Arial" w:hAnsi="Arial" w:cs="Arial"/>
        </w:rPr>
        <w:t>(na cilj usmerjeno, dobro organizirano vedenje, ki je pridobljeno skozi prakso in se gladko izvaja):</w:t>
      </w:r>
    </w:p>
    <w:p w:rsidR="004226EF" w:rsidRDefault="004226EF" w:rsidP="009A008E">
      <w:pPr>
        <w:jc w:val="both"/>
        <w:rPr>
          <w:rFonts w:ascii="Arial" w:hAnsi="Arial" w:cs="Arial"/>
        </w:rPr>
      </w:pPr>
    </w:p>
    <w:p w:rsidR="004226EF" w:rsidRDefault="004226EF" w:rsidP="009A008E">
      <w:pPr>
        <w:jc w:val="both"/>
        <w:rPr>
          <w:rFonts w:ascii="Arial" w:hAnsi="Arial" w:cs="Arial"/>
        </w:rPr>
      </w:pPr>
      <w:r>
        <w:rPr>
          <w:rFonts w:ascii="Helvetica" w:eastAsia="Times New Roman" w:hAnsi="Helvetica" w:cs="Helvetica"/>
          <w:noProof/>
          <w:color w:val="414143"/>
          <w:sz w:val="20"/>
          <w:szCs w:val="20"/>
          <w:lang w:eastAsia="sl-SI"/>
        </w:rPr>
        <w:drawing>
          <wp:inline distT="0" distB="0" distL="0" distR="0">
            <wp:extent cx="4775200" cy="2209800"/>
            <wp:effectExtent l="0" t="0" r="6350" b="0"/>
            <wp:docPr id="2" name="Slika 2" descr="communication-group-1940x900_35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unication-group-1940x900_353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6EF" w:rsidRDefault="004226EF" w:rsidP="009A008E">
      <w:pPr>
        <w:jc w:val="both"/>
        <w:rPr>
          <w:rFonts w:ascii="Arial" w:hAnsi="Arial" w:cs="Arial"/>
        </w:rPr>
      </w:pPr>
    </w:p>
    <w:p w:rsidR="009A008E" w:rsidRDefault="009A008E" w:rsidP="009A008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komunikacijske veščine</w:t>
      </w:r>
      <w:r>
        <w:rPr>
          <w:rFonts w:ascii="Arial" w:hAnsi="Arial" w:cs="Arial"/>
        </w:rPr>
        <w:t xml:space="preserve"> (zmožnost branja, pisanja, govora, poslušanja, neverbalne in grafične veščine),</w:t>
      </w:r>
    </w:p>
    <w:p w:rsidR="009A008E" w:rsidRDefault="009A008E" w:rsidP="009A008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številčne veščine</w:t>
      </w:r>
      <w:r>
        <w:rPr>
          <w:rFonts w:ascii="Arial" w:hAnsi="Arial" w:cs="Arial"/>
        </w:rPr>
        <w:t xml:space="preserve"> (zmožnost ocenjevanja in merjenja ter razumevanja in uporabe številčnih odnosov),</w:t>
      </w:r>
    </w:p>
    <w:p w:rsidR="009A008E" w:rsidRDefault="009A008E" w:rsidP="009A008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vizualne in opazovalne veščine</w:t>
      </w:r>
      <w:r>
        <w:rPr>
          <w:rFonts w:ascii="Arial" w:hAnsi="Arial" w:cs="Arial"/>
        </w:rPr>
        <w:t xml:space="preserve"> (opazovanje vzorcev, odnosov, zaznavanje perspektiv, oblik, barv, razlaganje opazovanega),</w:t>
      </w:r>
    </w:p>
    <w:p w:rsidR="009A008E" w:rsidRDefault="009A008E" w:rsidP="009A008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predstavne veščine</w:t>
      </w:r>
      <w:r>
        <w:rPr>
          <w:rFonts w:ascii="Arial" w:hAnsi="Arial" w:cs="Arial"/>
        </w:rPr>
        <w:t xml:space="preserve"> (postaviti sebe v drug čas ali situacijo, predstave glede na podatke in izkušnje),</w:t>
      </w:r>
    </w:p>
    <w:p w:rsidR="009A008E" w:rsidRDefault="009A008E" w:rsidP="009A008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učne in organizacijske veščine</w:t>
      </w:r>
      <w:r>
        <w:rPr>
          <w:rFonts w:ascii="Arial" w:hAnsi="Arial" w:cs="Arial"/>
        </w:rPr>
        <w:t xml:space="preserve"> (zmožnost izločitve informacij, urejanja v nize, klasificiranje, presojanje podatkov, izvajanje sklepov, zmožnost ugotavljanja odnosov…),</w:t>
      </w:r>
    </w:p>
    <w:p w:rsidR="009A008E" w:rsidRDefault="009A008E" w:rsidP="009A008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telesne in praktične veščine</w:t>
      </w:r>
      <w:r>
        <w:rPr>
          <w:rFonts w:ascii="Arial" w:hAnsi="Arial" w:cs="Arial"/>
        </w:rPr>
        <w:t xml:space="preserve"> (ročne spretnosti, delo z orodji…),</w:t>
      </w:r>
    </w:p>
    <w:p w:rsidR="009A008E" w:rsidRDefault="009A008E" w:rsidP="009A008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socialne veščine</w:t>
      </w:r>
      <w:r>
        <w:rPr>
          <w:rFonts w:ascii="Arial" w:hAnsi="Arial" w:cs="Arial"/>
        </w:rPr>
        <w:t xml:space="preserve"> (sodelovanje, dogovarjanje, izražanje idej, upoštevanje različnih pogledov, prepoznavanje neverbalne komunikacije),</w:t>
      </w:r>
    </w:p>
    <w:p w:rsidR="009A008E" w:rsidRDefault="009A008E" w:rsidP="009A008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veščine reševanja problemov in ustvarjalne veščine</w:t>
      </w:r>
      <w:r>
        <w:rPr>
          <w:rFonts w:ascii="Arial" w:hAnsi="Arial" w:cs="Arial"/>
        </w:rPr>
        <w:t xml:space="preserve"> (zmožnost določitve lastnosti problemov, postavljanja hipotez, načrtovanje poskusov, vrednotenje rezultatov in inventivne uporabe materialov).</w:t>
      </w:r>
    </w:p>
    <w:p w:rsidR="00137F9E" w:rsidRDefault="00137F9E" w:rsidP="00137F9E">
      <w:pPr>
        <w:spacing w:after="0" w:line="240" w:lineRule="auto"/>
        <w:jc w:val="both"/>
        <w:rPr>
          <w:rFonts w:ascii="Arial" w:hAnsi="Arial" w:cs="Arial"/>
        </w:rPr>
      </w:pPr>
    </w:p>
    <w:p w:rsidR="00137F9E" w:rsidRDefault="00137F9E" w:rsidP="00137F9E">
      <w:pPr>
        <w:spacing w:after="0" w:line="240" w:lineRule="auto"/>
        <w:jc w:val="both"/>
        <w:rPr>
          <w:rFonts w:ascii="Arial" w:hAnsi="Arial" w:cs="Arial"/>
        </w:rPr>
      </w:pPr>
    </w:p>
    <w:p w:rsidR="00137F9E" w:rsidRDefault="00137F9E" w:rsidP="00137F9E">
      <w:pPr>
        <w:spacing w:after="0" w:line="240" w:lineRule="auto"/>
        <w:jc w:val="both"/>
        <w:rPr>
          <w:rFonts w:ascii="Arial" w:hAnsi="Arial" w:cs="Arial"/>
        </w:rPr>
      </w:pPr>
    </w:p>
    <w:p w:rsidR="00137F9E" w:rsidRDefault="00137F9E" w:rsidP="00137F9E">
      <w:pPr>
        <w:spacing w:after="0" w:line="240" w:lineRule="auto"/>
        <w:jc w:val="both"/>
        <w:rPr>
          <w:rFonts w:ascii="Arial" w:hAnsi="Arial" w:cs="Arial"/>
        </w:rPr>
      </w:pPr>
    </w:p>
    <w:p w:rsidR="004226EF" w:rsidRDefault="004226EF" w:rsidP="004226EF">
      <w:pPr>
        <w:spacing w:after="0" w:line="240" w:lineRule="auto"/>
        <w:jc w:val="both"/>
        <w:rPr>
          <w:rFonts w:ascii="Arial" w:hAnsi="Arial" w:cs="Arial"/>
        </w:rPr>
      </w:pPr>
    </w:p>
    <w:p w:rsidR="004226EF" w:rsidRDefault="004226EF" w:rsidP="00422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Delitev kompetenc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(po: Zora Rutar Ilc, Od znanja in kompetenc k šoli in nazaj. V: udejanjanje načel vseživljenjskega učenja v vrtcu, osnovni in srednji šoli s pomočjo razvojnega načrtovanja – gradivo za razvojno načrtovanje Program Phare 2003 – vseživljenjsko učenje. Zavod RS za šolstvo. Ljubljana, 2006)</w:t>
      </w:r>
      <w:r>
        <w:rPr>
          <w:rFonts w:ascii="Arial" w:hAnsi="Arial" w:cs="Arial"/>
        </w:rPr>
        <w:t>:</w:t>
      </w:r>
    </w:p>
    <w:p w:rsidR="004226EF" w:rsidRDefault="004226EF" w:rsidP="004226EF">
      <w:pPr>
        <w:spacing w:after="0" w:line="240" w:lineRule="auto"/>
        <w:jc w:val="both"/>
        <w:rPr>
          <w:rFonts w:ascii="Arial" w:hAnsi="Arial" w:cs="Arial"/>
        </w:rPr>
      </w:pPr>
    </w:p>
    <w:p w:rsidR="009A008E" w:rsidRDefault="009A008E" w:rsidP="009A008E">
      <w:pPr>
        <w:spacing w:after="0" w:line="240" w:lineRule="auto"/>
        <w:jc w:val="both"/>
        <w:rPr>
          <w:rFonts w:ascii="Arial" w:hAnsi="Arial" w:cs="Arial"/>
        </w:rPr>
      </w:pPr>
    </w:p>
    <w:p w:rsidR="009A008E" w:rsidRDefault="009A008E" w:rsidP="009A008E">
      <w:pPr>
        <w:jc w:val="both"/>
      </w:pPr>
    </w:p>
    <w:p w:rsidR="009A008E" w:rsidRDefault="009A008E"/>
    <w:sectPr w:rsidR="009A0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52851"/>
    <w:multiLevelType w:val="hybridMultilevel"/>
    <w:tmpl w:val="E170208A"/>
    <w:lvl w:ilvl="0" w:tplc="916C53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984AD8"/>
    <w:multiLevelType w:val="hybridMultilevel"/>
    <w:tmpl w:val="3B129E42"/>
    <w:lvl w:ilvl="0" w:tplc="916C5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B02AA4"/>
    <w:multiLevelType w:val="hybridMultilevel"/>
    <w:tmpl w:val="003EB928"/>
    <w:lvl w:ilvl="0" w:tplc="916C535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FFE0C61"/>
    <w:multiLevelType w:val="hybridMultilevel"/>
    <w:tmpl w:val="3AFAD31A"/>
    <w:lvl w:ilvl="0" w:tplc="916C53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8E"/>
    <w:rsid w:val="00086469"/>
    <w:rsid w:val="00137F9E"/>
    <w:rsid w:val="004226EF"/>
    <w:rsid w:val="009A008E"/>
    <w:rsid w:val="009C44C7"/>
    <w:rsid w:val="00E0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A008E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008E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E016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A008E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008E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E016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tivni.si/psihologija/socialne-kompetence/#gallery31174Carouse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Jožica Gramc</dc:creator>
  <cp:lastModifiedBy>Jožica Gramc</cp:lastModifiedBy>
  <cp:revision>6</cp:revision>
  <dcterms:created xsi:type="dcterms:W3CDTF">2016-07-25T07:47:00Z</dcterms:created>
  <dcterms:modified xsi:type="dcterms:W3CDTF">2016-07-28T09:14:00Z</dcterms:modified>
</cp:coreProperties>
</file>